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2BA4" w14:textId="7604DBF6" w:rsidR="002127C7" w:rsidRDefault="00E25A51" w:rsidP="002127C7">
      <w:pPr>
        <w:rPr>
          <w:b/>
          <w:bCs/>
          <w:sz w:val="32"/>
          <w:szCs w:val="32"/>
        </w:rPr>
      </w:pPr>
      <w:r>
        <w:rPr>
          <w:b/>
          <w:bCs/>
          <w:sz w:val="32"/>
          <w:szCs w:val="32"/>
        </w:rPr>
        <w:t>Akcie: dominují výpočty umělé inteligence</w:t>
      </w:r>
    </w:p>
    <w:p w14:paraId="20BB1F73" w14:textId="77777777" w:rsidR="00E25A51" w:rsidRPr="00E25A51" w:rsidRDefault="00E25A51" w:rsidP="00E25A51">
      <w:pPr>
        <w:pStyle w:val="F2-zkladn"/>
      </w:pPr>
    </w:p>
    <w:p w14:paraId="779D588E" w14:textId="4D9CA1E5" w:rsidR="00E25A51" w:rsidRPr="00E25A51" w:rsidRDefault="00677156" w:rsidP="00E25A51">
      <w:pPr>
        <w:spacing w:before="0" w:after="160" w:line="278" w:lineRule="auto"/>
        <w:rPr>
          <w:b/>
          <w:bCs/>
          <w:i/>
          <w:iCs/>
        </w:rPr>
      </w:pPr>
      <w:r>
        <w:rPr>
          <w:b/>
          <w:bCs/>
          <w:i/>
          <w:iCs/>
        </w:rPr>
        <w:t xml:space="preserve">Fidelity International: </w:t>
      </w:r>
      <w:r w:rsidR="00E25A51" w:rsidRPr="00E25A51">
        <w:rPr>
          <w:b/>
          <w:bCs/>
          <w:i/>
          <w:iCs/>
        </w:rPr>
        <w:t>Investiční boom okolo AI je trend, který výrazně mění pravidla hry. AI bude i nadále pomáhat firemním ziskům růst, nicméně v některých oblastech výnosy nemusí odpovídat nadšení světa či akciových trhů. Pro rok 2026 rozšiřujeme hledání takových investičních příležitostí, které udrží směr.</w:t>
      </w:r>
    </w:p>
    <w:p w14:paraId="4A155545" w14:textId="77777777" w:rsidR="00E25A51" w:rsidRPr="00E25A51" w:rsidRDefault="00E25A51" w:rsidP="00677156">
      <w:pPr>
        <w:numPr>
          <w:ilvl w:val="0"/>
          <w:numId w:val="23"/>
        </w:numPr>
        <w:spacing w:before="0" w:after="160" w:line="278" w:lineRule="auto"/>
        <w:rPr>
          <w:b/>
          <w:bCs/>
        </w:rPr>
      </w:pPr>
      <w:bookmarkStart w:id="0" w:name="OLE_LINK17"/>
      <w:r w:rsidRPr="00E25A51">
        <w:rPr>
          <w:b/>
          <w:bCs/>
        </w:rPr>
        <w:t>Růst, který táhne AI, bude pokračovat, ale ještě není jasné, jak přesně se bude monetizovat. Existují navíc rizika, která rostou.</w:t>
      </w:r>
    </w:p>
    <w:p w14:paraId="2F75126E" w14:textId="77777777" w:rsidR="00E25A51" w:rsidRPr="00E25A51" w:rsidRDefault="00E25A51" w:rsidP="00677156">
      <w:pPr>
        <w:numPr>
          <w:ilvl w:val="0"/>
          <w:numId w:val="23"/>
        </w:numPr>
        <w:spacing w:before="0" w:after="160" w:line="278" w:lineRule="auto"/>
        <w:rPr>
          <w:b/>
          <w:bCs/>
        </w:rPr>
      </w:pPr>
      <w:r w:rsidRPr="00E25A51">
        <w:rPr>
          <w:b/>
          <w:bCs/>
        </w:rPr>
        <w:t>Potřeba diverzifikace a rotace mimo USA podpoří strategie orientované na pravidelný příjem</w:t>
      </w:r>
    </w:p>
    <w:p w14:paraId="25925086" w14:textId="18C453B3" w:rsidR="002127C7" w:rsidRPr="00677156" w:rsidRDefault="00E25A51" w:rsidP="00677156">
      <w:pPr>
        <w:numPr>
          <w:ilvl w:val="0"/>
          <w:numId w:val="23"/>
        </w:numPr>
        <w:spacing w:before="0" w:after="160" w:line="278" w:lineRule="auto"/>
        <w:rPr>
          <w:b/>
          <w:bCs/>
        </w:rPr>
      </w:pPr>
      <w:r w:rsidRPr="00E25A51">
        <w:rPr>
          <w:b/>
          <w:bCs/>
        </w:rPr>
        <w:t>Valuace ukazují na příležitosti v Evropě; Japonsko se vrací k růstu a možná právě začíná i širší býčí trh v Číně.</w:t>
      </w:r>
      <w:bookmarkEnd w:id="0"/>
    </w:p>
    <w:p w14:paraId="1E25DE45" w14:textId="77777777" w:rsidR="00E25A51" w:rsidRDefault="00E25A51" w:rsidP="00E25A51">
      <w:r w:rsidRPr="00827F30">
        <w:t>Jaká je odpověď na otázku za 21 bilionů dolarů? To je totiž současná dolarová hodnota amerického technologického sektoru, i když ve skutečnosti může být v sázce ještě více. Už pěknou řadu let neplatilo, že by se tolik věcí na americkém akciovém trhu opíralo o jediné ústřední téma – a právě umělá inteligence je v současnosti nosným trendem, který nelze ignorovat a který otřese budoucností. Technologie AI si žádá investice napříč mnoha sektory a způsobuje silný růst korporátních zisků, který bude pokračovat i v roce 2026. Ale máme již své zkušenosti a víme, že revoluce málokdy probíhají hladce.</w:t>
      </w:r>
    </w:p>
    <w:p w14:paraId="2DCCCC58" w14:textId="77777777" w:rsidR="00E25A51" w:rsidRPr="00827F30" w:rsidRDefault="00E25A51" w:rsidP="00E25A51">
      <w:r w:rsidRPr="00827F30">
        <w:t xml:space="preserve">Analytici Fidelity International intenzivně rozpracovávají klíčové teze týkající se </w:t>
      </w:r>
      <w:r>
        <w:t>AI</w:t>
      </w:r>
      <w:r w:rsidRPr="00827F30">
        <w:t>. Změny, které</w:t>
      </w:r>
      <w:r>
        <w:t xml:space="preserve"> nové technologie</w:t>
      </w:r>
      <w:r w:rsidRPr="00827F30">
        <w:t xml:space="preserve"> </w:t>
      </w:r>
      <w:r>
        <w:t>přináší</w:t>
      </w:r>
      <w:r w:rsidRPr="00827F30">
        <w:t>, budou stejně dramatické jako ty, které v 90. letech</w:t>
      </w:r>
      <w:r>
        <w:t xml:space="preserve"> způsobil internet</w:t>
      </w:r>
      <w:r w:rsidRPr="00827F30">
        <w:t>, a mezi americkými technologickými lídry máme společnosti s dostatečnou „palebnou silou“, aby investice s tím spojené dokázaly zrealizovat.</w:t>
      </w:r>
    </w:p>
    <w:p w14:paraId="24C80631" w14:textId="49E5CDA9" w:rsidR="00E25A51" w:rsidRPr="00827F30" w:rsidRDefault="00E25A51" w:rsidP="00E25A51">
      <w:r w:rsidRPr="00827F30">
        <w:t xml:space="preserve">„AI je třeba vnímat v kontextu širšího byznysu,“ říká jeden </w:t>
      </w:r>
      <w:r w:rsidR="00677156">
        <w:t>z</w:t>
      </w:r>
      <w:r w:rsidRPr="00827F30">
        <w:t xml:space="preserve"> technologických analytiků Jonathan Tseng</w:t>
      </w:r>
      <w:r w:rsidR="00677156">
        <w:t>, společnosti Fidelity International</w:t>
      </w:r>
      <w:r w:rsidRPr="00827F30">
        <w:t>. „Správná otázka není ‚je AI v bublině‘, ale ‚jsou současné společnosti známé jako hyperscalers – včetně těch, které generují stovky miliard dolarů hotovosti a obchodují se zhruba na 20násobku zisku – v bublině?‘.“</w:t>
      </w:r>
    </w:p>
    <w:p w14:paraId="28A23E73" w14:textId="77777777" w:rsidR="00E25A51" w:rsidRPr="00827F30" w:rsidRDefault="00E25A51" w:rsidP="00E25A51">
      <w:r w:rsidRPr="00827F30">
        <w:t xml:space="preserve">V době zásadních průmyslových </w:t>
      </w:r>
      <w:r>
        <w:t>i</w:t>
      </w:r>
      <w:r w:rsidRPr="00827F30">
        <w:t xml:space="preserve"> technologických otřesů investoři větří příležitost mimořádných zisků. Ty mohou nabízet průkopníci, lídři nového/revolučního odvětví, stejně jako společnosti, které těmto průkopníkům dodávají „krumpáče a lopaty“.</w:t>
      </w:r>
    </w:p>
    <w:p w14:paraId="4F906EDD" w14:textId="1E77FE17" w:rsidR="00E25A51" w:rsidRDefault="00E25A51" w:rsidP="00E25A51">
      <w:r w:rsidRPr="00827F30">
        <w:t>Nicméně vysoká míra nejistoty ohledně skutečného vývoje v budoucnosti klade důraz na to, abychom přesně identifikovali skutečné vítěze. Mnoho nápadů, projektů a firem získává financování a valuace obecně rostou, ale ne každá společnost nakonec vygeneruje zisky a cash flow, které by svou investici ospravedlnily.</w:t>
      </w:r>
    </w:p>
    <w:p w14:paraId="2FB316D5" w14:textId="77777777" w:rsidR="00022A06" w:rsidRPr="00022A06" w:rsidRDefault="00022A06" w:rsidP="00022A06">
      <w:pPr>
        <w:pStyle w:val="F2-zkladn"/>
      </w:pPr>
    </w:p>
    <w:p w14:paraId="0B77CCD2" w14:textId="04909BD5" w:rsidR="00022A06" w:rsidRPr="00022A06" w:rsidRDefault="00022A06" w:rsidP="00022A06">
      <w:pPr>
        <w:pStyle w:val="F2-zkladn"/>
        <w:rPr>
          <w:b/>
          <w:bCs/>
        </w:rPr>
      </w:pPr>
      <w:r w:rsidRPr="00022A06">
        <w:rPr>
          <w:b/>
          <w:bCs/>
          <w:noProof/>
        </w:rPr>
        <w:lastRenderedPageBreak/>
        <w:drawing>
          <wp:anchor distT="0" distB="0" distL="114300" distR="114300" simplePos="0" relativeHeight="251658240" behindDoc="1" locked="0" layoutInCell="1" allowOverlap="1" wp14:anchorId="030B3DDE" wp14:editId="127A7DC8">
            <wp:simplePos x="0" y="0"/>
            <wp:positionH relativeFrom="column">
              <wp:posOffset>-48895</wp:posOffset>
            </wp:positionH>
            <wp:positionV relativeFrom="paragraph">
              <wp:posOffset>361950</wp:posOffset>
            </wp:positionV>
            <wp:extent cx="5724525" cy="2428875"/>
            <wp:effectExtent l="0" t="0" r="9525" b="9525"/>
            <wp:wrapTight wrapText="bothSides">
              <wp:wrapPolygon edited="0">
                <wp:start x="0" y="0"/>
                <wp:lineTo x="0" y="21515"/>
                <wp:lineTo x="21564" y="21515"/>
                <wp:lineTo x="21564" y="0"/>
                <wp:lineTo x="0" y="0"/>
              </wp:wrapPolygon>
            </wp:wrapTight>
            <wp:docPr id="9726919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919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5" cy="2428875"/>
                    </a:xfrm>
                    <a:prstGeom prst="rect">
                      <a:avLst/>
                    </a:prstGeom>
                  </pic:spPr>
                </pic:pic>
              </a:graphicData>
            </a:graphic>
          </wp:anchor>
        </w:drawing>
      </w:r>
      <w:r w:rsidRPr="00022A06">
        <w:rPr>
          <w:b/>
          <w:bCs/>
        </w:rPr>
        <w:t>Graf 1: Nejvyšší koncentrace od 80.let</w:t>
      </w:r>
    </w:p>
    <w:p w14:paraId="72F9FC0F" w14:textId="1ABA5038" w:rsidR="00E25A51" w:rsidRPr="00827F30" w:rsidRDefault="00E25A51" w:rsidP="00E25A51">
      <w:r w:rsidRPr="00827F30">
        <w:t xml:space="preserve">Nejvyšší koncentrace od 80. </w:t>
      </w:r>
      <w:r>
        <w:t>l</w:t>
      </w:r>
      <w:r w:rsidRPr="00827F30">
        <w:t>et.</w:t>
      </w:r>
      <w:r>
        <w:tab/>
      </w:r>
      <w:r w:rsidRPr="00827F30">
        <w:br/>
        <w:t>Největší akcie S&amp;P jako procento celého trhu</w:t>
      </w:r>
      <w:r>
        <w:tab/>
      </w:r>
      <w:r w:rsidRPr="00827F30">
        <w:br/>
        <w:t>5 největších společností</w:t>
      </w:r>
      <w:r>
        <w:tab/>
      </w:r>
      <w:r w:rsidRPr="00827F30">
        <w:br/>
        <w:t>10 největších společností</w:t>
      </w:r>
      <w:r>
        <w:tab/>
      </w:r>
      <w:r w:rsidRPr="00827F30">
        <w:br/>
      </w:r>
      <w:r w:rsidRPr="007372D0">
        <w:rPr>
          <w:i/>
          <w:iCs/>
          <w:sz w:val="18"/>
          <w:szCs w:val="18"/>
        </w:rPr>
        <w:t>Zdroj: LSEG Datastream, Fidelity International, listopad 2025.</w:t>
      </w:r>
      <w:r w:rsidRPr="007372D0">
        <w:rPr>
          <w:i/>
          <w:iCs/>
          <w:sz w:val="18"/>
          <w:szCs w:val="18"/>
        </w:rPr>
        <w:tab/>
      </w:r>
      <w:r>
        <w:tab/>
      </w:r>
    </w:p>
    <w:p w14:paraId="7B47BB3D" w14:textId="77777777" w:rsidR="00E25A51" w:rsidRPr="00827F30" w:rsidRDefault="00E25A51" w:rsidP="00E25A51"/>
    <w:p w14:paraId="09E713AA" w14:textId="327DDBF8" w:rsidR="00E25A51" w:rsidRPr="00827F30" w:rsidRDefault="00E25A51" w:rsidP="00E25A51">
      <w:r w:rsidRPr="00827F30">
        <w:rPr>
          <w:b/>
          <w:bCs/>
        </w:rPr>
        <w:t>Něco se musí změnit</w:t>
      </w:r>
      <w:r>
        <w:rPr>
          <w:b/>
          <w:bCs/>
        </w:rPr>
        <w:tab/>
      </w:r>
      <w:r w:rsidRPr="00827F30">
        <w:rPr>
          <w:b/>
          <w:bCs/>
        </w:rPr>
        <w:br/>
      </w:r>
      <w:r w:rsidRPr="00827F30">
        <w:t>Celková nálada u analytických týmů</w:t>
      </w:r>
      <w:r w:rsidR="00677156">
        <w:t xml:space="preserve"> Fide</w:t>
      </w:r>
      <w:r w:rsidR="00E238B5">
        <w:t>li</w:t>
      </w:r>
      <w:r w:rsidR="00677156">
        <w:t xml:space="preserve">ty International </w:t>
      </w:r>
      <w:r w:rsidRPr="00827F30">
        <w:t>je pozitivní a podobný sentiment je vidět i v tržních valuacích. Tento text</w:t>
      </w:r>
      <w:r w:rsidR="00677156">
        <w:t xml:space="preserve"> je sepisován</w:t>
      </w:r>
      <w:r>
        <w:t xml:space="preserve"> </w:t>
      </w:r>
      <w:r w:rsidRPr="00827F30">
        <w:t>začátkem listopadu, kdy se index S&amp;P 500 obchoduje těsně pod 24násobkem očekávaného zisku (forward P/E). Historicky se na těchto úrovních nacházel méně než pět procent času.</w:t>
      </w:r>
    </w:p>
    <w:p w14:paraId="00EA2805" w14:textId="77777777" w:rsidR="00E25A51" w:rsidRPr="00827F30" w:rsidRDefault="00E25A51" w:rsidP="00E25A51">
      <w:r w:rsidRPr="00827F30">
        <w:t xml:space="preserve">Akcie ze sektorů technologií a spotřeby jsou ještě dražší, přičemž obě skupiny se obchodují nad 30násobkem zisku. Bude to ospravedlněno skutečnými zisky v nadcházejících čtvrtletích? U technologií existují </w:t>
      </w:r>
      <w:r>
        <w:t>významné signály</w:t>
      </w:r>
      <w:r w:rsidRPr="00827F30">
        <w:t xml:space="preserve"> zlepšujícího se výhledu. Když jsme se našich analytiků loni touto dobou ptali, zda očekávají, že AI zvýší ziskovost v roce 2025, odpověděla kladně jen čtvrtina (26 %). Tento podíl se od té doby zdvojnásobil na téměř polovinu dotázaných.</w:t>
      </w:r>
    </w:p>
    <w:p w14:paraId="320DF154" w14:textId="77777777" w:rsidR="00E25A51" w:rsidRPr="00827F30" w:rsidRDefault="00E25A51" w:rsidP="00E25A51">
      <w:r w:rsidRPr="00827F30">
        <w:t>V ostrém kontrastu s tím mnoho našich analytiků poukazuje na slabost amerického spotřebitele jako na hlavní problém příštího roku</w:t>
      </w:r>
      <w:r>
        <w:t>. O</w:t>
      </w:r>
      <w:r w:rsidRPr="00827F30">
        <w:t>sobně mám pocit, že je to dáno rozpory, které se</w:t>
      </w:r>
      <w:r>
        <w:t xml:space="preserve"> teprve</w:t>
      </w:r>
      <w:r w:rsidRPr="00827F30">
        <w:t xml:space="preserve"> ukáž</w:t>
      </w:r>
      <w:r>
        <w:t>ou</w:t>
      </w:r>
      <w:r w:rsidRPr="00827F30">
        <w:t xml:space="preserve"> v nadcházejících měsících.</w:t>
      </w:r>
    </w:p>
    <w:p w14:paraId="5BEFEF1E" w14:textId="77777777" w:rsidR="00E25A51" w:rsidRPr="00827F30" w:rsidRDefault="00E25A51" w:rsidP="00E25A51">
      <w:r w:rsidRPr="00827F30">
        <w:t>Pokud AI začíná fungovat v obchodních modelech společností – jak naznačuje náš průzkum i tržní valuace – bude to díky zvyšování produktivity. Je těžké si představit, že by k tomuto zvýšení došlo bez určitých změn v oblasti pracovní síly – koneckonců první vlny propouštění už dnes vidíme. Zatímco vyšší korporátní zisky a ceny akcií mají na ekonomiku pozitivní vliv, propouštění už méně.</w:t>
      </w:r>
    </w:p>
    <w:p w14:paraId="6260CE22" w14:textId="0264C256" w:rsidR="00E25A51" w:rsidRDefault="00E25A51" w:rsidP="00E25A51">
      <w:r w:rsidRPr="00827F30">
        <w:t xml:space="preserve">Za druhé, sektor spotřeby (jak běžné, tak dlouhodobé) tvoří jen 21 % indexu S&amp;P oproti 46 % u technologií a komunikací – ale američtí spotřebitelé sami představují téměř 70 % amerického HDP, </w:t>
      </w:r>
      <w:r w:rsidRPr="00827F30">
        <w:lastRenderedPageBreak/>
        <w:t>takže zhoršení v této oblasti by mělo sekundární dopady. Bude kombinace kapitálových zisků z rostoucích akciových trhů a samotného rozsahu investic do technologií dostatečná na to, aby převážila rizika vyplývající ze slabosti amerického spotřebitele?</w:t>
      </w:r>
    </w:p>
    <w:p w14:paraId="74FE5C8B" w14:textId="6E800254" w:rsidR="00022A06" w:rsidRPr="00022A06" w:rsidRDefault="00022A06" w:rsidP="00022A06">
      <w:pPr>
        <w:pStyle w:val="F2-zkladn"/>
        <w:rPr>
          <w:b/>
          <w:bCs/>
        </w:rPr>
      </w:pPr>
      <w:r w:rsidRPr="00827F30">
        <w:rPr>
          <w:noProof/>
        </w:rPr>
        <w:drawing>
          <wp:anchor distT="0" distB="0" distL="114300" distR="114300" simplePos="0" relativeHeight="251659264" behindDoc="1" locked="0" layoutInCell="1" allowOverlap="1" wp14:anchorId="02566472" wp14:editId="7670564B">
            <wp:simplePos x="0" y="0"/>
            <wp:positionH relativeFrom="margin">
              <wp:align>right</wp:align>
            </wp:positionH>
            <wp:positionV relativeFrom="paragraph">
              <wp:posOffset>617220</wp:posOffset>
            </wp:positionV>
            <wp:extent cx="5731510" cy="2436495"/>
            <wp:effectExtent l="0" t="0" r="2540" b="1905"/>
            <wp:wrapTight wrapText="bothSides">
              <wp:wrapPolygon edited="0">
                <wp:start x="0" y="0"/>
                <wp:lineTo x="0" y="21448"/>
                <wp:lineTo x="21538" y="21448"/>
                <wp:lineTo x="21538" y="0"/>
                <wp:lineTo x="0" y="0"/>
              </wp:wrapPolygon>
            </wp:wrapTight>
            <wp:docPr id="562504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0408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436495"/>
                    </a:xfrm>
                    <a:prstGeom prst="rect">
                      <a:avLst/>
                    </a:prstGeom>
                  </pic:spPr>
                </pic:pic>
              </a:graphicData>
            </a:graphic>
          </wp:anchor>
        </w:drawing>
      </w:r>
      <w:r w:rsidRPr="00022A06">
        <w:rPr>
          <w:b/>
          <w:bCs/>
        </w:rPr>
        <w:t>Graf 2: Spotřebitelská důvěra</w:t>
      </w:r>
    </w:p>
    <w:p w14:paraId="36D0CD10" w14:textId="6EDE8DEE" w:rsidR="00E25A51" w:rsidRPr="007372D0" w:rsidRDefault="00E25A51" w:rsidP="00E25A51">
      <w:pPr>
        <w:rPr>
          <w:i/>
          <w:iCs/>
          <w:sz w:val="18"/>
          <w:szCs w:val="18"/>
        </w:rPr>
      </w:pPr>
      <w:r w:rsidRPr="00827F30">
        <w:t>Spotřebitelská důvěra v USA slábne.</w:t>
      </w:r>
      <w:r>
        <w:tab/>
      </w:r>
      <w:r w:rsidRPr="00827F30">
        <w:br/>
        <w:t>Index spotřebitelské důvěry UoM</w:t>
      </w:r>
      <w:r>
        <w:tab/>
      </w:r>
      <w:r w:rsidRPr="00827F30">
        <w:br/>
      </w:r>
      <w:r w:rsidRPr="007372D0">
        <w:rPr>
          <w:i/>
          <w:iCs/>
          <w:sz w:val="18"/>
          <w:szCs w:val="18"/>
        </w:rPr>
        <w:t>Zdroj: LSEG Datastream, průzkumy University of Michigan Surveys Of Cons. Fidelity International, poslední data k 30. září 2025.</w:t>
      </w:r>
    </w:p>
    <w:p w14:paraId="0357A912" w14:textId="77777777" w:rsidR="00E25A51" w:rsidRPr="00827F30" w:rsidRDefault="00E25A51" w:rsidP="00E25A51"/>
    <w:p w14:paraId="54FDCB3D" w14:textId="7A99A235" w:rsidR="00E25A51" w:rsidRPr="00827F30" w:rsidRDefault="00E25A51" w:rsidP="00E25A51">
      <w:bookmarkStart w:id="1" w:name="OLE_LINK22"/>
      <w:r w:rsidRPr="00827F30">
        <w:rPr>
          <w:b/>
          <w:bCs/>
        </w:rPr>
        <w:t>Ceny, nejvýznamnější body</w:t>
      </w:r>
      <w:r>
        <w:rPr>
          <w:b/>
          <w:bCs/>
        </w:rPr>
        <w:tab/>
      </w:r>
      <w:r w:rsidRPr="00827F30">
        <w:rPr>
          <w:b/>
          <w:bCs/>
        </w:rPr>
        <w:br/>
      </w:r>
      <w:r w:rsidRPr="00827F30">
        <w:t xml:space="preserve">Prozatím se zdá, že odpověď je spíše ano, a na trhu vidíme skutečnou oporu pro jeho současný optimismus. Očekáváme, že růst zisků v roce 2025 </w:t>
      </w:r>
      <w:r>
        <w:t>okolo 5</w:t>
      </w:r>
      <w:r w:rsidR="0039700A">
        <w:t xml:space="preserve"> </w:t>
      </w:r>
      <w:r>
        <w:t xml:space="preserve">procent </w:t>
      </w:r>
      <w:r w:rsidRPr="00827F30">
        <w:t>dále</w:t>
      </w:r>
      <w:r>
        <w:t xml:space="preserve"> </w:t>
      </w:r>
      <w:r w:rsidRPr="00827F30">
        <w:t>v roce 2026 posílí na dvouciferné tempo napříč všemi hlavními regiony, které sledujeme. To obnáší i růst zisků v IT sektoru o 25 %.</w:t>
      </w:r>
    </w:p>
    <w:p w14:paraId="276AC9BD" w14:textId="1F703594" w:rsidR="00E25A51" w:rsidRPr="00827F30" w:rsidRDefault="00E25A51" w:rsidP="00E25A51">
      <w:r w:rsidRPr="00827F30">
        <w:t>Nicméně</w:t>
      </w:r>
      <w:r>
        <w:t>,</w:t>
      </w:r>
      <w:r w:rsidRPr="00827F30">
        <w:t xml:space="preserve"> je potřeba diverzifikovat riziko. Mnoho investorů</w:t>
      </w:r>
      <w:r w:rsidR="005E4EAD">
        <w:t xml:space="preserve"> </w:t>
      </w:r>
      <w:r w:rsidRPr="00827F30">
        <w:t>zkoumá geografické rozmístění svých pozic vzhledem k politickým událostem uplynulého roku. Jakýkoli zádrhel při současných velkorysých očekáváních ohledně růstu nebo problém ze strany politiky či regulace by mohl spustit skutečný odliv kapitálu.</w:t>
      </w:r>
    </w:p>
    <w:p w14:paraId="76982F11" w14:textId="6A4A4C68" w:rsidR="00E25A51" w:rsidRDefault="00E25A51" w:rsidP="00E25A51">
      <w:r w:rsidRPr="00827F30">
        <w:t>Pozice Evropy se výrazně zlepšila. Klesající inflace, nižší úrokové sazby a fiskální podpora představují příznivé podhoubí pro firemní investice a spotřebitelskou důvěru. Akcie ze sektoru letectví a obrany těží z trendu „přezbrojení Evropy“. Evropské společnosti by však neměly být vnímány jen v kontextu regionální ekonomiky. Jsou to globální korporace s odolnými rozvahami a mnohokrát otestovaným růstovým profilem.</w:t>
      </w:r>
      <w:bookmarkEnd w:id="1"/>
    </w:p>
    <w:p w14:paraId="7D9E806D" w14:textId="3F62143D" w:rsidR="00022A06" w:rsidRPr="00022A06" w:rsidRDefault="00022A06" w:rsidP="00022A06">
      <w:pPr>
        <w:pStyle w:val="F2-zkladn"/>
        <w:rPr>
          <w:b/>
          <w:bCs/>
        </w:rPr>
      </w:pPr>
      <w:r w:rsidRPr="00827F30">
        <w:rPr>
          <w:noProof/>
        </w:rPr>
        <w:lastRenderedPageBreak/>
        <w:drawing>
          <wp:anchor distT="0" distB="0" distL="114300" distR="114300" simplePos="0" relativeHeight="251660288" behindDoc="1" locked="0" layoutInCell="1" allowOverlap="1" wp14:anchorId="1CD74BCB" wp14:editId="182249A7">
            <wp:simplePos x="0" y="0"/>
            <wp:positionH relativeFrom="margin">
              <wp:align>left</wp:align>
            </wp:positionH>
            <wp:positionV relativeFrom="paragraph">
              <wp:posOffset>573405</wp:posOffset>
            </wp:positionV>
            <wp:extent cx="5724525" cy="2438400"/>
            <wp:effectExtent l="0" t="0" r="9525" b="0"/>
            <wp:wrapTight wrapText="bothSides">
              <wp:wrapPolygon edited="0">
                <wp:start x="0" y="0"/>
                <wp:lineTo x="0" y="21431"/>
                <wp:lineTo x="21564" y="21431"/>
                <wp:lineTo x="21564" y="0"/>
                <wp:lineTo x="0" y="0"/>
              </wp:wrapPolygon>
            </wp:wrapTight>
            <wp:docPr id="1575701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0136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4525" cy="2438400"/>
                    </a:xfrm>
                    <a:prstGeom prst="rect">
                      <a:avLst/>
                    </a:prstGeom>
                  </pic:spPr>
                </pic:pic>
              </a:graphicData>
            </a:graphic>
          </wp:anchor>
        </w:drawing>
      </w:r>
      <w:r w:rsidRPr="00022A06">
        <w:rPr>
          <w:b/>
          <w:bCs/>
        </w:rPr>
        <w:t>Graf 3: Příliv kapitálu do evropských akcií</w:t>
      </w:r>
    </w:p>
    <w:p w14:paraId="4752A06D" w14:textId="77AD83F0" w:rsidR="00E25A51" w:rsidRPr="00827F30" w:rsidRDefault="00E25A51" w:rsidP="00E25A51">
      <w:r w:rsidRPr="00827F30">
        <w:t>Příliv kapitálu do evropských akcií výrazně zesílil.</w:t>
      </w:r>
      <w:r>
        <w:tab/>
      </w:r>
      <w:r w:rsidRPr="00827F30">
        <w:br/>
        <w:t>Severní Amerika</w:t>
      </w:r>
      <w:r>
        <w:tab/>
      </w:r>
      <w:r w:rsidRPr="00827F30">
        <w:br/>
        <w:t>Evropa</w:t>
      </w:r>
      <w:r w:rsidRPr="00827F30">
        <w:br/>
        <w:t>Rozvíjející se trhy</w:t>
      </w:r>
      <w:r>
        <w:tab/>
      </w:r>
      <w:r w:rsidRPr="00827F30">
        <w:br/>
        <w:t>Japonsko</w:t>
      </w:r>
      <w:r w:rsidRPr="00827F30">
        <w:br/>
        <w:t>Asie a Tichomoří</w:t>
      </w:r>
      <w:r>
        <w:tab/>
      </w:r>
      <w:r w:rsidRPr="00827F30">
        <w:br/>
        <w:t>1. Čtvrtletí</w:t>
      </w:r>
      <w:r>
        <w:tab/>
      </w:r>
      <w:r w:rsidRPr="00827F30">
        <w:br/>
        <w:t>2. Čtvrtletí</w:t>
      </w:r>
      <w:r>
        <w:tab/>
      </w:r>
      <w:r w:rsidRPr="00827F30">
        <w:br/>
        <w:t>3. Čtvrtletí</w:t>
      </w:r>
      <w:r w:rsidR="00022A06">
        <w:tab/>
      </w:r>
      <w:r w:rsidRPr="00827F30">
        <w:br/>
      </w:r>
      <w:r w:rsidRPr="007372D0">
        <w:rPr>
          <w:i/>
          <w:iCs/>
          <w:sz w:val="18"/>
          <w:szCs w:val="18"/>
        </w:rPr>
        <w:t>Zdroj: Broadbridge GMI, Fidelity International, září 2025. Přeshraniční toky kapitálu do akciových fondů (v mld. USD) Poznámka: Pouze prodané přeshraniční fondy.</w:t>
      </w:r>
    </w:p>
    <w:p w14:paraId="47E15C2D" w14:textId="77777777" w:rsidR="00E25A51" w:rsidRPr="00827F30" w:rsidRDefault="00E25A51" w:rsidP="00E25A51">
      <w:r w:rsidRPr="00827F30">
        <w:t xml:space="preserve">Čína stále více připomíná americký trh, </w:t>
      </w:r>
      <w:r>
        <w:t>zejména co se týče pokroku</w:t>
      </w:r>
      <w:r w:rsidRPr="00827F30">
        <w:t xml:space="preserve">, který její společnosti dosahují v oblasti technologií a inovací – ale její trh není tak napjatý a valuace jsou nízké. Obavy z obchodního konfliktu s USA ochladly a je zřejmé, že vláda chápe význam fiskálních výdajů jako nástroje pro restart trhu a ekonomiky. Navíc se objevuje důraz na ukončení drtivých cenových válek, jenž může pomoci firemním ziskům </w:t>
      </w:r>
      <w:r>
        <w:t>vrátit se</w:t>
      </w:r>
      <w:r w:rsidRPr="00827F30">
        <w:t xml:space="preserve"> k smysluplnému růstu. Náznaky širšího býčího trhu jsou zřetelné.</w:t>
      </w:r>
    </w:p>
    <w:p w14:paraId="2B99F760" w14:textId="519A466C" w:rsidR="00E25A51" w:rsidRPr="00827F30" w:rsidRDefault="00E25A51" w:rsidP="00E25A51">
      <w:r w:rsidRPr="00827F30">
        <w:t>Japonsko v našem analytickém průzkumu</w:t>
      </w:r>
      <w:r>
        <w:t xml:space="preserve"> vyčnívá a působí optimisticky</w:t>
      </w:r>
      <w:r w:rsidRPr="00827F30">
        <w:t>. Země se vymanila z mnohaleté nízké inflace a s tím souvisejících nízkých úrokových sazeb. Mzdy rostou a s nimi i kupní síla spotřebitelů. Reformy v oblasti corporate governance podpořily trh a pomohly nastartovat podobný proces v Koreji, kde končí éra nízkých valuací a dividend – více viz</w:t>
      </w:r>
      <w:r w:rsidR="00166FE8">
        <w:t xml:space="preserve"> </w:t>
      </w:r>
      <w:r w:rsidRPr="00827F30">
        <w:t xml:space="preserve">výhled </w:t>
      </w:r>
      <w:r w:rsidR="00166FE8">
        <w:t xml:space="preserve">Fideilty International </w:t>
      </w:r>
      <w:r w:rsidRPr="00827F30">
        <w:t>pro Asii.</w:t>
      </w:r>
      <w:r>
        <w:tab/>
      </w:r>
    </w:p>
    <w:p w14:paraId="032496E3" w14:textId="5ED02A7D" w:rsidR="00D20058" w:rsidRDefault="00E25A51" w:rsidP="00E25A51">
      <w:r w:rsidRPr="00827F30">
        <w:t>Stručně řečeno, i když důvody k obavám existují, argumenty pro silnou výkonnost v příštím roce jsou</w:t>
      </w:r>
      <w:r>
        <w:t xml:space="preserve"> zde</w:t>
      </w:r>
      <w:r w:rsidRPr="00827F30">
        <w:t>. Tato výkonnost však</w:t>
      </w:r>
      <w:r>
        <w:t xml:space="preserve"> ale</w:t>
      </w:r>
      <w:r w:rsidRPr="00827F30">
        <w:t xml:space="preserve"> může být variabilnější, než </w:t>
      </w:r>
      <w:r w:rsidR="00F86D92">
        <w:t xml:space="preserve">byla pozorována </w:t>
      </w:r>
      <w:r w:rsidRPr="00827F30">
        <w:t>v posledních 12 měsících.</w:t>
      </w:r>
    </w:p>
    <w:p w14:paraId="54865F70" w14:textId="77777777" w:rsidR="007372D0" w:rsidRPr="003B4C8C" w:rsidRDefault="007372D0" w:rsidP="007372D0">
      <w:r w:rsidRPr="003B4C8C">
        <w:rPr>
          <w:b/>
          <w:bCs/>
        </w:rPr>
        <w:t>Pro více informací kontaktujte:</w:t>
      </w:r>
    </w:p>
    <w:p w14:paraId="42083663" w14:textId="77777777" w:rsidR="007372D0" w:rsidRPr="003B4C8C" w:rsidRDefault="007372D0" w:rsidP="007372D0">
      <w:r w:rsidRPr="003B4C8C">
        <w:rPr>
          <w:b/>
          <w:bCs/>
        </w:rPr>
        <w:t>Eliška Krohová</w:t>
      </w:r>
    </w:p>
    <w:p w14:paraId="501B409E" w14:textId="77777777" w:rsidR="007372D0" w:rsidRPr="003B4C8C" w:rsidRDefault="007372D0" w:rsidP="007372D0">
      <w:r w:rsidRPr="003B4C8C">
        <w:rPr>
          <w:b/>
          <w:bCs/>
        </w:rPr>
        <w:t>Crest Communications, a.s.</w:t>
      </w:r>
    </w:p>
    <w:p w14:paraId="408AC045" w14:textId="77777777" w:rsidR="007372D0" w:rsidRPr="003B4C8C" w:rsidRDefault="007372D0" w:rsidP="007372D0">
      <w:r w:rsidRPr="003B4C8C">
        <w:lastRenderedPageBreak/>
        <w:t>Ostrovní 126/30</w:t>
      </w:r>
    </w:p>
    <w:p w14:paraId="25FEECDC" w14:textId="77777777" w:rsidR="007372D0" w:rsidRPr="003B4C8C" w:rsidRDefault="007372D0" w:rsidP="007372D0">
      <w:r w:rsidRPr="003B4C8C">
        <w:t>110 00 Praha 1</w:t>
      </w:r>
    </w:p>
    <w:p w14:paraId="3FD18CF0" w14:textId="77777777" w:rsidR="007372D0" w:rsidRPr="003B4C8C" w:rsidRDefault="007372D0" w:rsidP="007372D0">
      <w:r w:rsidRPr="003B4C8C">
        <w:t>gsm: + 420 720 406 659</w:t>
      </w:r>
    </w:p>
    <w:p w14:paraId="6518A4EF" w14:textId="77777777" w:rsidR="007372D0" w:rsidRPr="003B4C8C" w:rsidRDefault="007372D0" w:rsidP="007372D0">
      <w:r w:rsidRPr="003B4C8C">
        <w:t>e-mail: </w:t>
      </w:r>
      <w:hyperlink r:id="rId14" w:tgtFrame="_blank" w:history="1">
        <w:r w:rsidRPr="003B4C8C">
          <w:rPr>
            <w:rStyle w:val="Hypertextovodkaz"/>
          </w:rPr>
          <w:t>eliska.krohova@crestcom.cz</w:t>
        </w:r>
      </w:hyperlink>
    </w:p>
    <w:p w14:paraId="7D7C452E" w14:textId="77777777" w:rsidR="007372D0" w:rsidRPr="003B4C8C" w:rsidRDefault="007372D0" w:rsidP="007372D0">
      <w:r w:rsidRPr="003B4C8C">
        <w:rPr>
          <w:b/>
          <w:bCs/>
        </w:rPr>
        <w:t>Informace pro editory:</w:t>
      </w:r>
    </w:p>
    <w:p w14:paraId="2376E62E" w14:textId="77777777" w:rsidR="007372D0" w:rsidRPr="003B4C8C" w:rsidRDefault="007372D0" w:rsidP="007372D0">
      <w:r w:rsidRPr="003B4C8C">
        <w:rPr>
          <w:b/>
          <w:bCs/>
        </w:rPr>
        <w:t>Fidelity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3693EEA" w14:textId="77777777" w:rsidR="007372D0" w:rsidRPr="003B4C8C" w:rsidRDefault="007372D0" w:rsidP="007372D0">
      <w:r w:rsidRPr="003B4C8C">
        <w:rPr>
          <w:b/>
          <w:bCs/>
        </w:rPr>
        <w:t>Důležité upozornění</w:t>
      </w:r>
    </w:p>
    <w:p w14:paraId="179F666F" w14:textId="77777777" w:rsidR="007372D0" w:rsidRPr="003B4C8C" w:rsidRDefault="007372D0" w:rsidP="007372D0">
      <w:r w:rsidRPr="003B4C8C">
        <w:t>Toto je propagační materiál. Tento dokument nesmí být bez předchozího souhlasu rozmnožován nebo rozšiřován.</w:t>
      </w:r>
    </w:p>
    <w:p w14:paraId="5929787B" w14:textId="77777777" w:rsidR="007372D0" w:rsidRPr="003B4C8C" w:rsidRDefault="007372D0" w:rsidP="007372D0">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26FFDD74" w14:textId="77777777" w:rsidR="007372D0" w:rsidRPr="003B4C8C" w:rsidRDefault="007372D0" w:rsidP="007372D0">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40DF6BA7" w14:textId="77777777" w:rsidR="007372D0" w:rsidRPr="003B4C8C" w:rsidRDefault="007372D0" w:rsidP="007372D0">
      <w:r w:rsidRPr="003B4C8C">
        <w:t>Všechny názory představují stanoviska společnosti Fidelity, není-li uvedeno jinak. Fidelity, Fidelity International a logo Fidelity International a symbol měny F jsou všechno ochrannými známkami společnosti FIL Limited.</w:t>
      </w:r>
    </w:p>
    <w:p w14:paraId="5631CE91" w14:textId="77777777" w:rsidR="007372D0" w:rsidRPr="003B4C8C" w:rsidRDefault="007372D0" w:rsidP="007372D0">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4FCE75E7" w14:textId="77777777" w:rsidR="007372D0" w:rsidRPr="003B4C8C" w:rsidRDefault="007372D0" w:rsidP="007372D0">
      <w:r w:rsidRPr="003B4C8C">
        <w:lastRenderedPageBreak/>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3E8E07F8" w14:textId="77777777" w:rsidR="007372D0" w:rsidRPr="003B4C8C" w:rsidRDefault="007372D0" w:rsidP="007372D0">
      <w:r w:rsidRPr="003B4C8C">
        <w:t>Minulá výkonnost není spolehlivým ukazatelem budoucích výsledků.</w:t>
      </w:r>
    </w:p>
    <w:p w14:paraId="69D481E5" w14:textId="77777777" w:rsidR="007372D0" w:rsidRPr="003B4C8C" w:rsidRDefault="007372D0" w:rsidP="007372D0">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18880F00" w14:textId="77777777" w:rsidR="007372D0" w:rsidRPr="003B4C8C" w:rsidRDefault="007372D0" w:rsidP="007372D0">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5"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36B4408D" w14:textId="77777777" w:rsidR="007372D0" w:rsidRPr="003B4C8C" w:rsidRDefault="007372D0" w:rsidP="007372D0">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3C1D3AFD" w14:textId="77777777" w:rsidR="007372D0" w:rsidRPr="003B4C8C" w:rsidRDefault="007372D0" w:rsidP="007372D0">
      <w:r w:rsidRPr="003B4C8C">
        <w:t>Investoři a potenciální investoři mohou získat informace o svých právech ve spojení se stížnostmi a soudními spory na tomto odkazu: </w:t>
      </w:r>
      <w:hyperlink r:id="rId16" w:tgtFrame="_blank" w:history="1">
        <w:r w:rsidRPr="003B4C8C">
          <w:rPr>
            <w:rStyle w:val="Hypertextovodkaz"/>
          </w:rPr>
          <w:t>https://www.fidelity.cz</w:t>
        </w:r>
      </w:hyperlink>
      <w:r w:rsidRPr="003B4C8C">
        <w:t> (v češtině).</w:t>
      </w:r>
    </w:p>
    <w:p w14:paraId="486CC69D" w14:textId="77777777" w:rsidR="007372D0" w:rsidRDefault="007372D0" w:rsidP="007372D0"/>
    <w:p w14:paraId="50D34838" w14:textId="7119A617" w:rsidR="007372D0" w:rsidRPr="007372D0" w:rsidRDefault="00860A8F" w:rsidP="007372D0">
      <w:pPr>
        <w:pStyle w:val="F2-zkladn"/>
      </w:pPr>
      <w:r w:rsidRPr="00860A8F">
        <w:rPr>
          <w:lang w:val="de-AT"/>
        </w:rPr>
        <w:t>MKAT13432</w:t>
      </w:r>
    </w:p>
    <w:sectPr w:rsidR="007372D0" w:rsidRPr="007372D0" w:rsidSect="00F50497">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E98B" w14:textId="77777777" w:rsidR="00491281" w:rsidRDefault="00491281">
      <w:r>
        <w:separator/>
      </w:r>
    </w:p>
  </w:endnote>
  <w:endnote w:type="continuationSeparator" w:id="0">
    <w:p w14:paraId="1077E212" w14:textId="77777777" w:rsidR="00491281" w:rsidRDefault="0049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A7DB" w14:textId="77777777" w:rsidR="00491281" w:rsidRDefault="00491281">
      <w:r>
        <w:separator/>
      </w:r>
    </w:p>
  </w:footnote>
  <w:footnote w:type="continuationSeparator" w:id="0">
    <w:p w14:paraId="338A44E7" w14:textId="77777777" w:rsidR="00491281" w:rsidRDefault="00491281">
      <w:r>
        <w:continuationSeparator/>
      </w:r>
    </w:p>
  </w:footnote>
  <w:footnote w:type="continuationNotice" w:id="1">
    <w:p w14:paraId="4A94142A" w14:textId="77777777" w:rsidR="00491281" w:rsidRDefault="00491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8BD234D"/>
    <w:multiLevelType w:val="hybridMultilevel"/>
    <w:tmpl w:val="1652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5"/>
  </w:num>
  <w:num w:numId="5" w16cid:durableId="315694586">
    <w:abstractNumId w:val="17"/>
  </w:num>
  <w:num w:numId="6" w16cid:durableId="108403674">
    <w:abstractNumId w:val="14"/>
  </w:num>
  <w:num w:numId="7" w16cid:durableId="604575006">
    <w:abstractNumId w:val="21"/>
  </w:num>
  <w:num w:numId="8" w16cid:durableId="2105804766">
    <w:abstractNumId w:val="18"/>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13318333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2A06"/>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346"/>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66FE8"/>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0A54"/>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00A"/>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738"/>
    <w:rsid w:val="00404DB5"/>
    <w:rsid w:val="00405D0D"/>
    <w:rsid w:val="0041004D"/>
    <w:rsid w:val="004113D5"/>
    <w:rsid w:val="004115C0"/>
    <w:rsid w:val="004118D0"/>
    <w:rsid w:val="00411B33"/>
    <w:rsid w:val="004125BB"/>
    <w:rsid w:val="00412819"/>
    <w:rsid w:val="0041337E"/>
    <w:rsid w:val="00415B88"/>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62A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1281"/>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B61FC"/>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87D70"/>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2779"/>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4EAD"/>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133B"/>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156"/>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3BEF"/>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2D0"/>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0A8F"/>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30A"/>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27F4F"/>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416A"/>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38B5"/>
    <w:rsid w:val="00E250B5"/>
    <w:rsid w:val="00E25A51"/>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13"/>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114"/>
    <w:rsid w:val="00F76B07"/>
    <w:rsid w:val="00F80AE3"/>
    <w:rsid w:val="00F8360A"/>
    <w:rsid w:val="00F83B96"/>
    <w:rsid w:val="00F849DF"/>
    <w:rsid w:val="00F8600D"/>
    <w:rsid w:val="00F86D92"/>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A0E"/>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3D17"/>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ttps/www.fidelit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ttps/www.fidelityinternationa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1835</Words>
  <Characters>10827</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12637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9</cp:revision>
  <cp:lastPrinted>2015-11-30T16:29:00Z</cp:lastPrinted>
  <dcterms:created xsi:type="dcterms:W3CDTF">2025-12-08T10:07:00Z</dcterms:created>
  <dcterms:modified xsi:type="dcterms:W3CDTF">2025-12-08T10:31:00Z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