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CED" w14:textId="77777777" w:rsidR="00C8012F" w:rsidRPr="00C8012F" w:rsidRDefault="00C8012F" w:rsidP="00C8012F">
      <w:pPr>
        <w:spacing w:line="360" w:lineRule="auto"/>
        <w:rPr>
          <w:rFonts w:ascii="Invesco Interstate Bold" w:hAnsi="Invesco Interstate Bold"/>
          <w:b/>
          <w:bCs/>
          <w:sz w:val="28"/>
          <w:szCs w:val="28"/>
        </w:rPr>
      </w:pPr>
    </w:p>
    <w:p w14:paraId="217544D7" w14:textId="72BC42C3" w:rsidR="00847306" w:rsidRPr="00847306" w:rsidRDefault="00847306" w:rsidP="00847306">
      <w:pPr>
        <w:spacing w:line="360" w:lineRule="auto"/>
        <w:jc w:val="both"/>
        <w:rPr>
          <w:rFonts w:ascii="Invesco Interstate Light" w:eastAsia="MS Mincho" w:hAnsi="Invesco Interstate Light"/>
          <w:b/>
          <w:bCs/>
          <w:sz w:val="28"/>
          <w:szCs w:val="28"/>
          <w:lang w:eastAsia="ja-JP"/>
        </w:rPr>
      </w:pPr>
      <w:r w:rsidRPr="00847306">
        <w:rPr>
          <w:rFonts w:ascii="Invesco Interstate Light" w:eastAsia="MS Mincho" w:hAnsi="Invesco Interstate Light"/>
          <w:b/>
          <w:bCs/>
          <w:sz w:val="28"/>
          <w:szCs w:val="28"/>
          <w:lang w:eastAsia="ja-JP"/>
        </w:rPr>
        <w:t>Makro očekávání</w:t>
      </w:r>
    </w:p>
    <w:p w14:paraId="521168E2" w14:textId="13AF3625" w:rsidR="00847306" w:rsidRPr="00847306" w:rsidRDefault="00847306" w:rsidP="00847306">
      <w:pPr>
        <w:spacing w:line="360" w:lineRule="auto"/>
        <w:jc w:val="both"/>
        <w:rPr>
          <w:rFonts w:ascii="Invesco Interstate Light" w:eastAsia="MS Mincho" w:hAnsi="Invesco Interstate Light"/>
          <w:b/>
          <w:bCs/>
          <w:i/>
          <w:iCs/>
          <w:sz w:val="22"/>
          <w:szCs w:val="22"/>
          <w:lang w:eastAsia="ja-JP"/>
        </w:rPr>
      </w:pPr>
      <w:r w:rsidRPr="00847306">
        <w:rPr>
          <w:rFonts w:ascii="Invesco Interstate Light" w:eastAsia="MS Mincho" w:hAnsi="Invesco Interstate Light"/>
          <w:b/>
          <w:bCs/>
          <w:i/>
          <w:iCs/>
          <w:sz w:val="22"/>
          <w:szCs w:val="22"/>
          <w:lang w:eastAsia="ja-JP"/>
        </w:rPr>
        <w:t xml:space="preserve">Brian </w:t>
      </w:r>
      <w:proofErr w:type="spellStart"/>
      <w:r w:rsidRPr="00847306">
        <w:rPr>
          <w:rFonts w:ascii="Invesco Interstate Light" w:eastAsia="MS Mincho" w:hAnsi="Invesco Interstate Light"/>
          <w:b/>
          <w:bCs/>
          <w:i/>
          <w:iCs/>
          <w:sz w:val="22"/>
          <w:szCs w:val="22"/>
          <w:lang w:eastAsia="ja-JP"/>
        </w:rPr>
        <w:t>Levitt</w:t>
      </w:r>
      <w:proofErr w:type="spellEnd"/>
      <w:r w:rsidRPr="00847306">
        <w:rPr>
          <w:rFonts w:ascii="Invesco Interstate Light" w:eastAsia="MS Mincho" w:hAnsi="Invesco Interstate Light"/>
          <w:b/>
          <w:bCs/>
          <w:i/>
          <w:iCs/>
          <w:sz w:val="22"/>
          <w:szCs w:val="22"/>
          <w:lang w:eastAsia="ja-JP"/>
        </w:rPr>
        <w:t xml:space="preserve">, hlavní globální tržní stratég a vedoucí </w:t>
      </w:r>
      <w:proofErr w:type="spellStart"/>
      <w:r w:rsidRPr="00847306">
        <w:rPr>
          <w:rFonts w:ascii="Invesco Interstate Light" w:eastAsia="MS Mincho" w:hAnsi="Invesco Interstate Light"/>
          <w:b/>
          <w:bCs/>
          <w:i/>
          <w:iCs/>
          <w:sz w:val="22"/>
          <w:szCs w:val="22"/>
          <w:lang w:eastAsia="ja-JP"/>
        </w:rPr>
        <w:t>Strategy</w:t>
      </w:r>
      <w:proofErr w:type="spellEnd"/>
      <w:r w:rsidRPr="00847306">
        <w:rPr>
          <w:rFonts w:ascii="Invesco Interstate Light" w:eastAsia="MS Mincho" w:hAnsi="Invesco Interstate Light"/>
          <w:b/>
          <w:bCs/>
          <w:i/>
          <w:iCs/>
          <w:sz w:val="22"/>
          <w:szCs w:val="22"/>
          <w:lang w:eastAsia="ja-JP"/>
        </w:rPr>
        <w:t xml:space="preserve"> &amp; </w:t>
      </w:r>
      <w:proofErr w:type="spellStart"/>
      <w:r w:rsidRPr="00847306">
        <w:rPr>
          <w:rFonts w:ascii="Invesco Interstate Light" w:eastAsia="MS Mincho" w:hAnsi="Invesco Interstate Light"/>
          <w:b/>
          <w:bCs/>
          <w:i/>
          <w:iCs/>
          <w:sz w:val="22"/>
          <w:szCs w:val="22"/>
          <w:lang w:eastAsia="ja-JP"/>
        </w:rPr>
        <w:t>Insights</w:t>
      </w:r>
      <w:proofErr w:type="spellEnd"/>
      <w:r w:rsidRPr="00847306">
        <w:rPr>
          <w:rFonts w:ascii="Invesco Interstate Light" w:eastAsia="MS Mincho" w:hAnsi="Invesco Interstate Light"/>
          <w:b/>
          <w:bCs/>
          <w:i/>
          <w:iCs/>
          <w:sz w:val="22"/>
          <w:szCs w:val="22"/>
          <w:lang w:eastAsia="ja-JP"/>
        </w:rPr>
        <w:t xml:space="preserve">, a Paul Jackson, globální tržní stratég pro EMEA, </w:t>
      </w:r>
      <w:proofErr w:type="spellStart"/>
      <w:r w:rsidRPr="00847306">
        <w:rPr>
          <w:rFonts w:ascii="Invesco Interstate Light" w:eastAsia="MS Mincho" w:hAnsi="Invesco Interstate Light"/>
          <w:b/>
          <w:bCs/>
          <w:i/>
          <w:iCs/>
          <w:sz w:val="22"/>
          <w:szCs w:val="22"/>
          <w:lang w:eastAsia="ja-JP"/>
        </w:rPr>
        <w:t>Invesco</w:t>
      </w:r>
      <w:proofErr w:type="spellEnd"/>
    </w:p>
    <w:p w14:paraId="3F2098CB" w14:textId="77777777" w:rsidR="00847306" w:rsidRPr="00847306" w:rsidRDefault="00847306" w:rsidP="00847306">
      <w:pPr>
        <w:spacing w:line="360" w:lineRule="auto"/>
        <w:jc w:val="both"/>
        <w:rPr>
          <w:rFonts w:ascii="Invesco Interstate Light" w:eastAsia="MS Mincho" w:hAnsi="Invesco Interstate Light"/>
          <w:i/>
          <w:iCs/>
          <w:sz w:val="22"/>
          <w:szCs w:val="22"/>
          <w:lang w:eastAsia="ja-JP"/>
        </w:rPr>
      </w:pPr>
    </w:p>
    <w:p w14:paraId="3C85674E" w14:textId="1C236EEA"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Odolnost ekonomiky</w:t>
      </w:r>
    </w:p>
    <w:p w14:paraId="4FC5642F"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Ekonomika byla v roce 2025 mimořádně odolná a očekáváme, že tato odolnost bude pokračovat i v roce 2026. Američtí spotřebitelé jsou ve „slušné kondici“, očekáváme, že Federální rezervní systém sníží úrokové sazby, v Evropě i v Číně jsme zaznamenali určitou politickou podporu a v Japonsku vnímáme lepší nominální růstové prostředí, než jaké jsme už poměrně dlouhou dobu pozorovali.</w:t>
      </w:r>
    </w:p>
    <w:p w14:paraId="7336E606"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p>
    <w:p w14:paraId="62A12F2C"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 xml:space="preserve">Důvody pro </w:t>
      </w:r>
      <w:proofErr w:type="spellStart"/>
      <w:r w:rsidRPr="00847306">
        <w:rPr>
          <w:rFonts w:ascii="Invesco Interstate Light" w:eastAsia="MS Mincho" w:hAnsi="Invesco Interstate Light"/>
          <w:b/>
          <w:bCs/>
          <w:sz w:val="22"/>
          <w:szCs w:val="22"/>
          <w:lang w:eastAsia="ja-JP"/>
        </w:rPr>
        <w:t>rebalancování</w:t>
      </w:r>
      <w:proofErr w:type="spellEnd"/>
    </w:p>
    <w:p w14:paraId="5C9B96F4"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AI příběh posunul americký trh na poměrně vysoké valuace. Očekáváme proto </w:t>
      </w:r>
      <w:proofErr w:type="spellStart"/>
      <w:r w:rsidRPr="00847306">
        <w:rPr>
          <w:rFonts w:ascii="Invesco Interstate Light" w:eastAsia="MS Mincho" w:hAnsi="Invesco Interstate Light"/>
          <w:sz w:val="22"/>
          <w:szCs w:val="22"/>
          <w:lang w:eastAsia="ja-JP"/>
        </w:rPr>
        <w:t>rebalancování</w:t>
      </w:r>
      <w:proofErr w:type="spellEnd"/>
      <w:r w:rsidRPr="00847306">
        <w:rPr>
          <w:rFonts w:ascii="Invesco Interstate Light" w:eastAsia="MS Mincho" w:hAnsi="Invesco Interstate Light"/>
          <w:sz w:val="22"/>
          <w:szCs w:val="22"/>
          <w:lang w:eastAsia="ja-JP"/>
        </w:rPr>
        <w:t xml:space="preserve"> do jiných částí světa i do jiných segmentů amerického trhu. Například Čína stále vypadá hodnotově zajímavá. Evropské trhy se pohybují v souladu s historickými normami. A roste nadšení ohledně situace v Japonsku.</w:t>
      </w:r>
    </w:p>
    <w:p w14:paraId="67A6D58A"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57FB0507"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Evropa se zotavuje</w:t>
      </w:r>
    </w:p>
    <w:p w14:paraId="53FCB715"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V Evropě se nyní cosi probudilo. Středem toho je očekávání lepšího ekonomického růstu, který vychází z několika zdrojů:</w:t>
      </w:r>
    </w:p>
    <w:p w14:paraId="21087CCB" w14:textId="77777777" w:rsidR="00847306" w:rsidRPr="00847306" w:rsidRDefault="00847306" w:rsidP="00847306">
      <w:pPr>
        <w:numPr>
          <w:ilvl w:val="0"/>
          <w:numId w:val="43"/>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Evropská centrální banka během posledních let snížila úrokové sazby na polovinu.</w:t>
      </w:r>
    </w:p>
    <w:p w14:paraId="5DA83B41" w14:textId="77777777" w:rsidR="00847306" w:rsidRPr="00847306" w:rsidRDefault="00847306" w:rsidP="00847306">
      <w:pPr>
        <w:numPr>
          <w:ilvl w:val="0"/>
          <w:numId w:val="43"/>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Dochází k růstu reálných mezd a vzhledem k tomu, že evropské míry úspor jsou velmi vysoké, mají spotřebitelé dostatek „munice“, jestliže se do vrátí důvěra.</w:t>
      </w:r>
    </w:p>
    <w:p w14:paraId="19F61FB5" w14:textId="77777777" w:rsidR="00847306" w:rsidRPr="00847306" w:rsidRDefault="00847306" w:rsidP="00847306">
      <w:pPr>
        <w:numPr>
          <w:ilvl w:val="0"/>
          <w:numId w:val="43"/>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Evropa se snaží stát se více nezávislou v oblasti obrany, takže vojenské výdaje </w:t>
      </w:r>
      <w:proofErr w:type="spellStart"/>
      <w:r w:rsidRPr="00847306">
        <w:rPr>
          <w:rFonts w:ascii="Invesco Interstate Light" w:eastAsia="MS Mincho" w:hAnsi="Invesco Interstate Light"/>
          <w:sz w:val="22"/>
          <w:szCs w:val="22"/>
          <w:lang w:eastAsia="ja-JP"/>
        </w:rPr>
        <w:t>zřejměporostou</w:t>
      </w:r>
      <w:proofErr w:type="spellEnd"/>
      <w:r w:rsidRPr="00847306">
        <w:rPr>
          <w:rFonts w:ascii="Invesco Interstate Light" w:eastAsia="MS Mincho" w:hAnsi="Invesco Interstate Light"/>
          <w:sz w:val="22"/>
          <w:szCs w:val="22"/>
          <w:lang w:eastAsia="ja-JP"/>
        </w:rPr>
        <w:t>. Z toho budou těžit sektor stavebnictví, výrobci kapitálových statků a sektor letectví a obrany.</w:t>
      </w:r>
    </w:p>
    <w:p w14:paraId="122B163C" w14:textId="77777777" w:rsidR="00847306" w:rsidRPr="00847306" w:rsidRDefault="00847306" w:rsidP="00847306">
      <w:pPr>
        <w:numPr>
          <w:ilvl w:val="0"/>
          <w:numId w:val="43"/>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V Německu navíc pomůže očekávaný nárůst infrastrukturních investic.</w:t>
      </w:r>
    </w:p>
    <w:p w14:paraId="1A00A71C"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pict w14:anchorId="40719473">
          <v:rect id="_x0000_i1130" style="width:0;height:1.5pt" o:hralign="center" o:hrstd="t" o:hr="t" fillcolor="#a0a0a0" stroked="f"/>
        </w:pict>
      </w:r>
    </w:p>
    <w:p w14:paraId="26179033"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Fixní výnos</w:t>
      </w:r>
    </w:p>
    <w:p w14:paraId="7103C2C0"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proofErr w:type="spellStart"/>
      <w:r w:rsidRPr="00847306">
        <w:rPr>
          <w:rFonts w:ascii="Invesco Interstate Light" w:eastAsia="MS Mincho" w:hAnsi="Invesco Interstate Light"/>
          <w:b/>
          <w:bCs/>
          <w:sz w:val="22"/>
          <w:szCs w:val="22"/>
          <w:lang w:eastAsia="ja-JP"/>
        </w:rPr>
        <w:t>Hemant</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Baijal</w:t>
      </w:r>
      <w:proofErr w:type="spellEnd"/>
      <w:r w:rsidRPr="00847306">
        <w:rPr>
          <w:rFonts w:ascii="Invesco Interstate Light" w:eastAsia="MS Mincho" w:hAnsi="Invesco Interstate Light"/>
          <w:b/>
          <w:bCs/>
          <w:sz w:val="22"/>
          <w:szCs w:val="22"/>
          <w:lang w:eastAsia="ja-JP"/>
        </w:rPr>
        <w:t xml:space="preserve">, vedoucí </w:t>
      </w:r>
      <w:proofErr w:type="spellStart"/>
      <w:r w:rsidRPr="00847306">
        <w:rPr>
          <w:rFonts w:ascii="Invesco Interstate Light" w:eastAsia="MS Mincho" w:hAnsi="Invesco Interstate Light"/>
          <w:b/>
          <w:bCs/>
          <w:sz w:val="22"/>
          <w:szCs w:val="22"/>
          <w:lang w:eastAsia="ja-JP"/>
        </w:rPr>
        <w:t>Macro</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Alpha</w:t>
      </w:r>
      <w:proofErr w:type="spellEnd"/>
      <w:r w:rsidRPr="00847306">
        <w:rPr>
          <w:rFonts w:ascii="Invesco Interstate Light" w:eastAsia="MS Mincho" w:hAnsi="Invesco Interstate Light"/>
          <w:b/>
          <w:bCs/>
          <w:sz w:val="22"/>
          <w:szCs w:val="22"/>
          <w:lang w:eastAsia="ja-JP"/>
        </w:rPr>
        <w:t xml:space="preserve"> a spoluzodpovědný za </w:t>
      </w:r>
      <w:proofErr w:type="spellStart"/>
      <w:r w:rsidRPr="00847306">
        <w:rPr>
          <w:rFonts w:ascii="Invesco Interstate Light" w:eastAsia="MS Mincho" w:hAnsi="Invesco Interstate Light"/>
          <w:b/>
          <w:bCs/>
          <w:sz w:val="22"/>
          <w:szCs w:val="22"/>
          <w:lang w:eastAsia="ja-JP"/>
        </w:rPr>
        <w:t>emerging</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markets</w:t>
      </w:r>
      <w:proofErr w:type="spellEnd"/>
      <w:r w:rsidRPr="00847306">
        <w:rPr>
          <w:rFonts w:ascii="Invesco Interstate Light" w:eastAsia="MS Mincho" w:hAnsi="Invesco Interstate Light"/>
          <w:b/>
          <w:bCs/>
          <w:sz w:val="22"/>
          <w:szCs w:val="22"/>
          <w:lang w:eastAsia="ja-JP"/>
        </w:rPr>
        <w:t xml:space="preserve"> dluhopisy v </w:t>
      </w:r>
      <w:proofErr w:type="spellStart"/>
      <w:r w:rsidRPr="00847306">
        <w:rPr>
          <w:rFonts w:ascii="Invesco Interstate Light" w:eastAsia="MS Mincho" w:hAnsi="Invesco Interstate Light"/>
          <w:b/>
          <w:bCs/>
          <w:sz w:val="22"/>
          <w:szCs w:val="22"/>
          <w:lang w:eastAsia="ja-JP"/>
        </w:rPr>
        <w:t>Invesco</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Fixed</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Income</w:t>
      </w:r>
      <w:proofErr w:type="spellEnd"/>
    </w:p>
    <w:p w14:paraId="385331DE"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Slabší americký dolar</w:t>
      </w:r>
    </w:p>
    <w:p w14:paraId="6AACDDB3"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lastRenderedPageBreak/>
        <w:t>Strukturální i cyklické faktory by mohly v následujících čtvrtletích vést k oslabení dolaru. Pro dluhopisové investory to znamená různé věci v závislosti na měně, ze které investují.</w:t>
      </w:r>
    </w:p>
    <w:p w14:paraId="04C203E2" w14:textId="77777777" w:rsidR="00847306" w:rsidRPr="00847306" w:rsidRDefault="00847306" w:rsidP="00847306">
      <w:pPr>
        <w:numPr>
          <w:ilvl w:val="0"/>
          <w:numId w:val="44"/>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Pokud je vaší základní měnou americký dolar, znamená to, že můžete investovat globálně bez toho, aby na vás doléhaly komplikace v podobě výrazně posilujícího dolaru – můžete tak vytvářet efektivnější portfolia diverzifikací napříč zeměmi.</w:t>
      </w:r>
    </w:p>
    <w:p w14:paraId="221B9F23" w14:textId="77777777" w:rsidR="00847306" w:rsidRDefault="00847306" w:rsidP="00847306">
      <w:pPr>
        <w:numPr>
          <w:ilvl w:val="0"/>
          <w:numId w:val="44"/>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Pokud jste investor v eurech nebo britské libře – zejména eurový investor – situace je jiná. Poslední desetiletí přinášelo eurovým investorům, kteří investovali do dolarových aktiv, nejen vyšší úrokový výnos, ale působil také posilující dolar, což přinášelo „dvojí benefit“. Tento benefit však nemusí pokračovat, a tak euroví investoři mohou mít potřebu diverzifikovat dolarové dluhopisové pozice do jiných zemí, kde lze stavět efektivnější portfolia.</w:t>
      </w:r>
    </w:p>
    <w:p w14:paraId="6D14F72C" w14:textId="77777777" w:rsidR="00847306" w:rsidRPr="00847306" w:rsidRDefault="00847306" w:rsidP="00847306">
      <w:pPr>
        <w:spacing w:line="360" w:lineRule="auto"/>
        <w:ind w:left="720"/>
        <w:jc w:val="both"/>
        <w:rPr>
          <w:rFonts w:ascii="Invesco Interstate Light" w:eastAsia="MS Mincho" w:hAnsi="Invesco Interstate Light"/>
          <w:sz w:val="22"/>
          <w:szCs w:val="22"/>
          <w:lang w:eastAsia="ja-JP"/>
        </w:rPr>
      </w:pPr>
    </w:p>
    <w:p w14:paraId="18B4D7BC"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Dluhopisy rozvíjejících se trhů</w:t>
      </w:r>
    </w:p>
    <w:p w14:paraId="6CC50EDA"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Rozdělíme-li dluh EM na tři složky – úrokové sazby, měny a kreditní spready – stále pozorujeme značnou hodnotu v úrokových sazbách a také ve směnných kurzech. Domníváme se však, že kreditní spready jsou v této době již vesměs plně promítnuty v cenách.</w:t>
      </w:r>
    </w:p>
    <w:p w14:paraId="5ED7ACF1"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Rizika na dluhopisovém trhu</w:t>
      </w:r>
    </w:p>
    <w:p w14:paraId="13127B2F"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V Evropě, USA a dalších vyspělých zemích, jako je Japonsko, se v příštích letech projeví nerovnováha mezi poptávkou po dlouhodobém dluhu a jeho nabídkou. Tato nerovnováha však v rozvíjejících se trzích neexistuje – což je jeden z důvodů, proč preferujeme sazby na </w:t>
      </w:r>
      <w:proofErr w:type="spellStart"/>
      <w:r w:rsidRPr="00847306">
        <w:rPr>
          <w:rFonts w:ascii="Invesco Interstate Light" w:eastAsia="MS Mincho" w:hAnsi="Invesco Interstate Light"/>
          <w:sz w:val="22"/>
          <w:szCs w:val="22"/>
          <w:lang w:eastAsia="ja-JP"/>
        </w:rPr>
        <w:t>emerging</w:t>
      </w:r>
      <w:proofErr w:type="spellEnd"/>
      <w:r w:rsidRPr="00847306">
        <w:rPr>
          <w:rFonts w:ascii="Invesco Interstate Light" w:eastAsia="MS Mincho" w:hAnsi="Invesco Interstate Light"/>
          <w:sz w:val="22"/>
          <w:szCs w:val="22"/>
          <w:lang w:eastAsia="ja-JP"/>
        </w:rPr>
        <w:t xml:space="preserve"> </w:t>
      </w:r>
      <w:proofErr w:type="spellStart"/>
      <w:r w:rsidRPr="00847306">
        <w:rPr>
          <w:rFonts w:ascii="Invesco Interstate Light" w:eastAsia="MS Mincho" w:hAnsi="Invesco Interstate Light"/>
          <w:sz w:val="22"/>
          <w:szCs w:val="22"/>
          <w:lang w:eastAsia="ja-JP"/>
        </w:rPr>
        <w:t>markets</w:t>
      </w:r>
      <w:proofErr w:type="spellEnd"/>
      <w:r w:rsidRPr="00847306">
        <w:rPr>
          <w:rFonts w:ascii="Invesco Interstate Light" w:eastAsia="MS Mincho" w:hAnsi="Invesco Interstate Light"/>
          <w:sz w:val="22"/>
          <w:szCs w:val="22"/>
          <w:lang w:eastAsia="ja-JP"/>
        </w:rPr>
        <w:t>.</w:t>
      </w:r>
    </w:p>
    <w:p w14:paraId="470C878D"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pict w14:anchorId="6058D2B9">
          <v:rect id="_x0000_i1131" style="width:0;height:1.5pt" o:hralign="center" o:hrstd="t" o:hr="t" fillcolor="#a0a0a0" stroked="f"/>
        </w:pict>
      </w:r>
    </w:p>
    <w:p w14:paraId="46B8FF05"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Akcie</w:t>
      </w:r>
    </w:p>
    <w:p w14:paraId="421C31A4"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proofErr w:type="spellStart"/>
      <w:r w:rsidRPr="00847306">
        <w:rPr>
          <w:rFonts w:ascii="Invesco Interstate Light" w:eastAsia="MS Mincho" w:hAnsi="Invesco Interstate Light"/>
          <w:b/>
          <w:bCs/>
          <w:sz w:val="22"/>
          <w:szCs w:val="22"/>
          <w:lang w:eastAsia="ja-JP"/>
        </w:rPr>
        <w:t>Siddharth</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Shah</w:t>
      </w:r>
      <w:proofErr w:type="spellEnd"/>
      <w:r w:rsidRPr="00847306">
        <w:rPr>
          <w:rFonts w:ascii="Invesco Interstate Light" w:eastAsia="MS Mincho" w:hAnsi="Invesco Interstate Light"/>
          <w:b/>
          <w:bCs/>
          <w:sz w:val="22"/>
          <w:szCs w:val="22"/>
          <w:lang w:eastAsia="ja-JP"/>
        </w:rPr>
        <w:t xml:space="preserve">, produktový ředitel v týmu </w:t>
      </w:r>
      <w:proofErr w:type="spellStart"/>
      <w:r w:rsidRPr="00847306">
        <w:rPr>
          <w:rFonts w:ascii="Invesco Interstate Light" w:eastAsia="MS Mincho" w:hAnsi="Invesco Interstate Light"/>
          <w:b/>
          <w:bCs/>
          <w:sz w:val="22"/>
          <w:szCs w:val="22"/>
          <w:lang w:eastAsia="ja-JP"/>
        </w:rPr>
        <w:t>Global</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Equities</w:t>
      </w:r>
      <w:proofErr w:type="spellEnd"/>
    </w:p>
    <w:p w14:paraId="4EA93DB7"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Jak se vyznat v investičních příležitostech v AI</w:t>
      </w:r>
    </w:p>
    <w:p w14:paraId="4DB166DA"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Valuace jsou velmi důležitou součástí rozhodování o tom, zda do dané akcie investovat. Určité části trhu dnes skutečně obchodují spíše na základě „</w:t>
      </w:r>
      <w:proofErr w:type="spellStart"/>
      <w:r w:rsidRPr="00847306">
        <w:rPr>
          <w:rFonts w:ascii="Invesco Interstate Light" w:eastAsia="MS Mincho" w:hAnsi="Invesco Interstate Light"/>
          <w:sz w:val="22"/>
          <w:szCs w:val="22"/>
          <w:lang w:eastAsia="ja-JP"/>
        </w:rPr>
        <w:t>hype</w:t>
      </w:r>
      <w:proofErr w:type="spellEnd"/>
      <w:r w:rsidRPr="00847306">
        <w:rPr>
          <w:rFonts w:ascii="Invesco Interstate Light" w:eastAsia="MS Mincho" w:hAnsi="Invesco Interstate Light"/>
          <w:sz w:val="22"/>
          <w:szCs w:val="22"/>
          <w:lang w:eastAsia="ja-JP"/>
        </w:rPr>
        <w:t xml:space="preserve">“ či nadějí, ale existují i společnosti, které generují obrovské množství volného cash </w:t>
      </w:r>
      <w:proofErr w:type="spellStart"/>
      <w:r w:rsidRPr="00847306">
        <w:rPr>
          <w:rFonts w:ascii="Invesco Interstate Light" w:eastAsia="MS Mincho" w:hAnsi="Invesco Interstate Light"/>
          <w:sz w:val="22"/>
          <w:szCs w:val="22"/>
          <w:lang w:eastAsia="ja-JP"/>
        </w:rPr>
        <w:t>flow</w:t>
      </w:r>
      <w:proofErr w:type="spellEnd"/>
      <w:r w:rsidRPr="00847306">
        <w:rPr>
          <w:rFonts w:ascii="Invesco Interstate Light" w:eastAsia="MS Mincho" w:hAnsi="Invesco Interstate Light"/>
          <w:sz w:val="22"/>
          <w:szCs w:val="22"/>
          <w:lang w:eastAsia="ja-JP"/>
        </w:rPr>
        <w:t xml:space="preserve">. Nepotřebují dluh k financování svého </w:t>
      </w:r>
      <w:proofErr w:type="spellStart"/>
      <w:r w:rsidRPr="00847306">
        <w:rPr>
          <w:rFonts w:ascii="Invesco Interstate Light" w:eastAsia="MS Mincho" w:hAnsi="Invesco Interstate Light"/>
          <w:sz w:val="22"/>
          <w:szCs w:val="22"/>
          <w:lang w:eastAsia="ja-JP"/>
        </w:rPr>
        <w:t>capexu</w:t>
      </w:r>
      <w:proofErr w:type="spellEnd"/>
      <w:r w:rsidRPr="00847306">
        <w:rPr>
          <w:rFonts w:ascii="Invesco Interstate Light" w:eastAsia="MS Mincho" w:hAnsi="Invesco Interstate Light"/>
          <w:sz w:val="22"/>
          <w:szCs w:val="22"/>
          <w:lang w:eastAsia="ja-JP"/>
        </w:rPr>
        <w:t>. Klíčová otázka proto zní: jaká je návratnost jejich investic? A bude dostatečná k ospravedlnění dnešních valuací? Zásadní také je, aby podniky v AI prostoru měly jistou diverzifikaci – tedy další zdroje tržeb a příjmů.</w:t>
      </w:r>
    </w:p>
    <w:p w14:paraId="5CD6C1F4"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29C39D14"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Příležitosti v Evropě</w:t>
      </w:r>
    </w:p>
    <w:p w14:paraId="506DC09C"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lastRenderedPageBreak/>
        <w:t>Evropa vypadá relativně atraktivně – už delší dobu. Dochází k růstu fiskálních výdajů v Německu a ke zvýšení obranných výdajů. Navíc existují další sektory, kde lze najít vynikající podniky, které rostou, vyplácejí dividendy a obchodují se za poměrně atraktivní valuace.</w:t>
      </w:r>
    </w:p>
    <w:p w14:paraId="43AF76EC"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1D83114B"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Generování příjmu skrze akcie</w:t>
      </w:r>
    </w:p>
    <w:p w14:paraId="483B1DF2"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Náš přístup je poměrně unikátní oproti většině konkurence. Snažíme se pečlivě vyvažovat příjem a kapitálový růst. Nemáme přísná pravidla typu „investujeme jen do firem s určitým dividendovým výnosem“, což je běžné. Taková pravidla totiž obvykle vedou ke koncentraci do takových typů sektorů, které v některých obdobích výrazně překonávají trh, ale v jiných zaostávají. My chceme klientům nabídnout něco stabilnějšího a udržitelnějšího během různých tržních prostředí.</w:t>
      </w:r>
    </w:p>
    <w:p w14:paraId="1EF8B37E"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pict w14:anchorId="4A98DFF8">
          <v:rect id="_x0000_i1132" style="width:0;height:1.5pt" o:hralign="center" o:hrstd="t" o:hr="t" fillcolor="#a0a0a0" stroked="f"/>
        </w:pict>
      </w:r>
    </w:p>
    <w:p w14:paraId="460AB5CD"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 xml:space="preserve">Christopher </w:t>
      </w:r>
      <w:proofErr w:type="spellStart"/>
      <w:r w:rsidRPr="00847306">
        <w:rPr>
          <w:rFonts w:ascii="Invesco Interstate Light" w:eastAsia="MS Mincho" w:hAnsi="Invesco Interstate Light"/>
          <w:b/>
          <w:bCs/>
          <w:sz w:val="22"/>
          <w:szCs w:val="22"/>
          <w:lang w:eastAsia="ja-JP"/>
        </w:rPr>
        <w:t>Mellor</w:t>
      </w:r>
      <w:proofErr w:type="spellEnd"/>
      <w:r w:rsidRPr="00847306">
        <w:rPr>
          <w:rFonts w:ascii="Invesco Interstate Light" w:eastAsia="MS Mincho" w:hAnsi="Invesco Interstate Light"/>
          <w:b/>
          <w:bCs/>
          <w:sz w:val="22"/>
          <w:szCs w:val="22"/>
          <w:lang w:eastAsia="ja-JP"/>
        </w:rPr>
        <w:t xml:space="preserve">, vedoucí správy akciových produktů, EMEA </w:t>
      </w:r>
      <w:proofErr w:type="spellStart"/>
      <w:r w:rsidRPr="00847306">
        <w:rPr>
          <w:rFonts w:ascii="Invesco Interstate Light" w:eastAsia="MS Mincho" w:hAnsi="Invesco Interstate Light"/>
          <w:b/>
          <w:bCs/>
          <w:sz w:val="22"/>
          <w:szCs w:val="22"/>
          <w:lang w:eastAsia="ja-JP"/>
        </w:rPr>
        <w:t>ETFs</w:t>
      </w:r>
      <w:proofErr w:type="spellEnd"/>
    </w:p>
    <w:p w14:paraId="5CC9790A" w14:textId="77777777" w:rsidR="00847306" w:rsidRDefault="00847306" w:rsidP="00847306">
      <w:pPr>
        <w:spacing w:line="360" w:lineRule="auto"/>
        <w:jc w:val="both"/>
        <w:rPr>
          <w:rFonts w:ascii="Invesco Interstate Light" w:eastAsia="MS Mincho" w:hAnsi="Invesco Interstate Light"/>
          <w:b/>
          <w:bCs/>
          <w:sz w:val="22"/>
          <w:szCs w:val="22"/>
          <w:lang w:eastAsia="ja-JP"/>
        </w:rPr>
      </w:pPr>
    </w:p>
    <w:p w14:paraId="23ED48D3" w14:textId="3D72162C"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Rostoucí koncentrační rizika</w:t>
      </w:r>
    </w:p>
    <w:p w14:paraId="610F87D7"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Ať už je AI bublina nebo ne, koncentrace na akciových trzích narůstá. V indexu S&amp;P 500 mají dnes deset největších titulů dohromady více než </w:t>
      </w:r>
      <w:proofErr w:type="gramStart"/>
      <w:r w:rsidRPr="00847306">
        <w:rPr>
          <w:rFonts w:ascii="Invesco Interstate Light" w:eastAsia="MS Mincho" w:hAnsi="Invesco Interstate Light"/>
          <w:sz w:val="22"/>
          <w:szCs w:val="22"/>
          <w:lang w:eastAsia="ja-JP"/>
        </w:rPr>
        <w:t>40%</w:t>
      </w:r>
      <w:proofErr w:type="gramEnd"/>
      <w:r w:rsidRPr="00847306">
        <w:rPr>
          <w:rFonts w:ascii="Invesco Interstate Light" w:eastAsia="MS Mincho" w:hAnsi="Invesco Interstate Light"/>
          <w:sz w:val="22"/>
          <w:szCs w:val="22"/>
          <w:lang w:eastAsia="ja-JP"/>
        </w:rPr>
        <w:t xml:space="preserve"> váhu. Během technologické bubliny to bylo přibližně 25 %. Jasně tedy dochází k vychýlení trhu – a to bude mít dopad na výkonnost.</w:t>
      </w:r>
    </w:p>
    <w:p w14:paraId="70CE0117"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2BDB1DFF"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Rovnovážné přístupy</w:t>
      </w:r>
    </w:p>
    <w:p w14:paraId="101A7FC7"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Zaznamenáváme rostoucí zájem o strategie typu </w:t>
      </w:r>
      <w:proofErr w:type="spellStart"/>
      <w:r w:rsidRPr="00847306">
        <w:rPr>
          <w:rFonts w:ascii="Invesco Interstate Light" w:eastAsia="MS Mincho" w:hAnsi="Invesco Interstate Light"/>
          <w:sz w:val="22"/>
          <w:szCs w:val="22"/>
          <w:lang w:eastAsia="ja-JP"/>
        </w:rPr>
        <w:t>equal-weight</w:t>
      </w:r>
      <w:proofErr w:type="spellEnd"/>
      <w:r w:rsidRPr="00847306">
        <w:rPr>
          <w:rFonts w:ascii="Invesco Interstate Light" w:eastAsia="MS Mincho" w:hAnsi="Invesco Interstate Light"/>
          <w:sz w:val="22"/>
          <w:szCs w:val="22"/>
          <w:lang w:eastAsia="ja-JP"/>
        </w:rPr>
        <w:t xml:space="preserve">. Proč? Protože nabízejí jednoduchý způsob diverzifikace expozice. Rozprostíráte riziko, diverzifikujete efektivněji. Navíc vnášíte do portfolia systematickou disciplínu </w:t>
      </w:r>
      <w:proofErr w:type="spellStart"/>
      <w:r w:rsidRPr="00847306">
        <w:rPr>
          <w:rFonts w:ascii="Invesco Interstate Light" w:eastAsia="MS Mincho" w:hAnsi="Invesco Interstate Light"/>
          <w:sz w:val="22"/>
          <w:szCs w:val="22"/>
          <w:lang w:eastAsia="ja-JP"/>
        </w:rPr>
        <w:t>rebalancování</w:t>
      </w:r>
      <w:proofErr w:type="spellEnd"/>
      <w:r w:rsidRPr="00847306">
        <w:rPr>
          <w:rFonts w:ascii="Invesco Interstate Light" w:eastAsia="MS Mincho" w:hAnsi="Invesco Interstate Light"/>
          <w:sz w:val="22"/>
          <w:szCs w:val="22"/>
          <w:lang w:eastAsia="ja-JP"/>
        </w:rPr>
        <w:t>.</w:t>
      </w:r>
    </w:p>
    <w:p w14:paraId="47EDF96C"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63A4BB59"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Akciový příjem</w:t>
      </w:r>
    </w:p>
    <w:p w14:paraId="41B43F2A"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Máme strategie typu „vysoký dividendový výnos, nízká volatilita“, což je skvělá cesta, jak získat podstatné dividendy a příjem, ale současně snížit riziko poklesu a kolísavost. Další oblastí je americká energetická infrastruktura – poměrně specifická část investičního světa s velmi dobrými výnosy. Master limited </w:t>
      </w:r>
      <w:proofErr w:type="spellStart"/>
      <w:r w:rsidRPr="00847306">
        <w:rPr>
          <w:rFonts w:ascii="Invesco Interstate Light" w:eastAsia="MS Mincho" w:hAnsi="Invesco Interstate Light"/>
          <w:sz w:val="22"/>
          <w:szCs w:val="22"/>
          <w:lang w:eastAsia="ja-JP"/>
        </w:rPr>
        <w:t>partnerships</w:t>
      </w:r>
      <w:proofErr w:type="spellEnd"/>
      <w:r w:rsidRPr="00847306">
        <w:rPr>
          <w:rFonts w:ascii="Invesco Interstate Light" w:eastAsia="MS Mincho" w:hAnsi="Invesco Interstate Light"/>
          <w:sz w:val="22"/>
          <w:szCs w:val="22"/>
          <w:lang w:eastAsia="ja-JP"/>
        </w:rPr>
        <w:t xml:space="preserve"> jsou daňově efektivní struktura, poměrně unikátní pro USA, navržená tak, aby zisky plynuly přímo koncovým investorům.</w:t>
      </w:r>
    </w:p>
    <w:p w14:paraId="3AE8156F"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pict w14:anchorId="65D501FC">
          <v:rect id="_x0000_i1133" style="width:0;height:1.5pt" o:hralign="center" o:hrstd="t" o:hr="t" fillcolor="#a0a0a0" stroked="f"/>
        </w:pict>
      </w:r>
    </w:p>
    <w:p w14:paraId="748B21BB"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Nemovitosti</w:t>
      </w:r>
    </w:p>
    <w:p w14:paraId="1899FE0B"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lastRenderedPageBreak/>
        <w:t xml:space="preserve">Mike </w:t>
      </w:r>
      <w:proofErr w:type="spellStart"/>
      <w:r w:rsidRPr="00847306">
        <w:rPr>
          <w:rFonts w:ascii="Invesco Interstate Light" w:eastAsia="MS Mincho" w:hAnsi="Invesco Interstate Light"/>
          <w:b/>
          <w:bCs/>
          <w:sz w:val="22"/>
          <w:szCs w:val="22"/>
          <w:lang w:eastAsia="ja-JP"/>
        </w:rPr>
        <w:t>Bessell</w:t>
      </w:r>
      <w:proofErr w:type="spellEnd"/>
      <w:r w:rsidRPr="00847306">
        <w:rPr>
          <w:rFonts w:ascii="Invesco Interstate Light" w:eastAsia="MS Mincho" w:hAnsi="Invesco Interstate Light"/>
          <w:b/>
          <w:bCs/>
          <w:sz w:val="22"/>
          <w:szCs w:val="22"/>
          <w:lang w:eastAsia="ja-JP"/>
        </w:rPr>
        <w:t xml:space="preserve">, výkonný ředitel a investiční stratég pro Evropu, </w:t>
      </w:r>
      <w:proofErr w:type="spellStart"/>
      <w:r w:rsidRPr="00847306">
        <w:rPr>
          <w:rFonts w:ascii="Invesco Interstate Light" w:eastAsia="MS Mincho" w:hAnsi="Invesco Interstate Light"/>
          <w:b/>
          <w:bCs/>
          <w:sz w:val="22"/>
          <w:szCs w:val="22"/>
          <w:lang w:eastAsia="ja-JP"/>
        </w:rPr>
        <w:t>Invesco</w:t>
      </w:r>
      <w:proofErr w:type="spellEnd"/>
      <w:r w:rsidRPr="00847306">
        <w:rPr>
          <w:rFonts w:ascii="Invesco Interstate Light" w:eastAsia="MS Mincho" w:hAnsi="Invesco Interstate Light"/>
          <w:b/>
          <w:bCs/>
          <w:sz w:val="22"/>
          <w:szCs w:val="22"/>
          <w:lang w:eastAsia="ja-JP"/>
        </w:rPr>
        <w:t xml:space="preserve"> Real </w:t>
      </w:r>
      <w:proofErr w:type="spellStart"/>
      <w:r w:rsidRPr="00847306">
        <w:rPr>
          <w:rFonts w:ascii="Invesco Interstate Light" w:eastAsia="MS Mincho" w:hAnsi="Invesco Interstate Light"/>
          <w:b/>
          <w:bCs/>
          <w:sz w:val="22"/>
          <w:szCs w:val="22"/>
          <w:lang w:eastAsia="ja-JP"/>
        </w:rPr>
        <w:t>Estate</w:t>
      </w:r>
      <w:proofErr w:type="spellEnd"/>
    </w:p>
    <w:p w14:paraId="66B3B041"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Důvody k investování</w:t>
      </w:r>
    </w:p>
    <w:p w14:paraId="167D99AA"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Existuje pět klíčových důvodů, proč by investoři měli zvážit alokaci do komerčních nemovitostí: diverzifikace, konkurenceschopné výnosy, zastoupení tržních segmentů, zajištění proti inflaci a spolehlivý cash </w:t>
      </w:r>
      <w:proofErr w:type="spellStart"/>
      <w:r w:rsidRPr="00847306">
        <w:rPr>
          <w:rFonts w:ascii="Invesco Interstate Light" w:eastAsia="MS Mincho" w:hAnsi="Invesco Interstate Light"/>
          <w:sz w:val="22"/>
          <w:szCs w:val="22"/>
          <w:lang w:eastAsia="ja-JP"/>
        </w:rPr>
        <w:t>flow</w:t>
      </w:r>
      <w:proofErr w:type="spellEnd"/>
      <w:r w:rsidRPr="00847306">
        <w:rPr>
          <w:rFonts w:ascii="Invesco Interstate Light" w:eastAsia="MS Mincho" w:hAnsi="Invesco Interstate Light"/>
          <w:sz w:val="22"/>
          <w:szCs w:val="22"/>
          <w:lang w:eastAsia="ja-JP"/>
        </w:rPr>
        <w:t>.</w:t>
      </w:r>
    </w:p>
    <w:p w14:paraId="6B7CBF62"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Příležitosti specifické pro jednotlivá aktiva.</w:t>
      </w:r>
    </w:p>
    <w:p w14:paraId="2BC70E62"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V nemovitostech byla minulá dekáda silně tažena sektorovými trendy. S ohledem na současný vývoj úrokových sazeb je ale zřejmé, že výnosy budou muset vycházet z příjmů a jejich růstu – nemůžeme se spoléhat na poklesy cap </w:t>
      </w:r>
      <w:proofErr w:type="spellStart"/>
      <w:r w:rsidRPr="00847306">
        <w:rPr>
          <w:rFonts w:ascii="Invesco Interstate Light" w:eastAsia="MS Mincho" w:hAnsi="Invesco Interstate Light"/>
          <w:sz w:val="22"/>
          <w:szCs w:val="22"/>
          <w:lang w:eastAsia="ja-JP"/>
        </w:rPr>
        <w:t>ratů</w:t>
      </w:r>
      <w:proofErr w:type="spellEnd"/>
      <w:r w:rsidRPr="00847306">
        <w:rPr>
          <w:rFonts w:ascii="Invesco Interstate Light" w:eastAsia="MS Mincho" w:hAnsi="Invesco Interstate Light"/>
          <w:sz w:val="22"/>
          <w:szCs w:val="22"/>
          <w:lang w:eastAsia="ja-JP"/>
        </w:rPr>
        <w:t xml:space="preserve"> či tržních výnosů na makro úrovni. To znamená, že investiční příležitosti budou mnohem více specifické pro jednotlivá aktiva.</w:t>
      </w:r>
    </w:p>
    <w:p w14:paraId="0E7FA224"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Dva trhy v jednom</w:t>
      </w:r>
    </w:p>
    <w:p w14:paraId="517BFF11"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Často mluvíme o „trhu s nemovitostmi“, ale ve skutečnosti existují dva trhy:</w:t>
      </w:r>
    </w:p>
    <w:p w14:paraId="1CF50DAA" w14:textId="77777777" w:rsidR="00847306" w:rsidRPr="00847306" w:rsidRDefault="00847306" w:rsidP="00847306">
      <w:pPr>
        <w:numPr>
          <w:ilvl w:val="0"/>
          <w:numId w:val="45"/>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b/>
          <w:bCs/>
          <w:sz w:val="22"/>
          <w:szCs w:val="22"/>
          <w:lang w:eastAsia="ja-JP"/>
        </w:rPr>
        <w:t>Trh nájemců</w:t>
      </w:r>
      <w:r w:rsidRPr="00847306">
        <w:rPr>
          <w:rFonts w:ascii="Invesco Interstate Light" w:eastAsia="MS Mincho" w:hAnsi="Invesco Interstate Light"/>
          <w:sz w:val="22"/>
          <w:szCs w:val="22"/>
          <w:lang w:eastAsia="ja-JP"/>
        </w:rPr>
        <w:t>, kteří zabírají prostory a platí nájem.</w:t>
      </w:r>
    </w:p>
    <w:p w14:paraId="0019E81C" w14:textId="77777777" w:rsidR="00847306" w:rsidRPr="00847306" w:rsidRDefault="00847306" w:rsidP="00847306">
      <w:pPr>
        <w:numPr>
          <w:ilvl w:val="0"/>
          <w:numId w:val="45"/>
        </w:num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b/>
          <w:bCs/>
          <w:sz w:val="22"/>
          <w:szCs w:val="22"/>
          <w:lang w:eastAsia="ja-JP"/>
        </w:rPr>
        <w:t>Kapitálový trh</w:t>
      </w:r>
      <w:r w:rsidRPr="00847306">
        <w:rPr>
          <w:rFonts w:ascii="Invesco Interstate Light" w:eastAsia="MS Mincho" w:hAnsi="Invesco Interstate Light"/>
          <w:sz w:val="22"/>
          <w:szCs w:val="22"/>
          <w:lang w:eastAsia="ja-JP"/>
        </w:rPr>
        <w:t>, který oceňuje tyto příjmy jako investiční aktivum.</w:t>
      </w:r>
      <w:r w:rsidRPr="00847306">
        <w:rPr>
          <w:rFonts w:ascii="Invesco Interstate Light" w:eastAsia="MS Mincho" w:hAnsi="Invesco Interstate Light"/>
          <w:sz w:val="22"/>
          <w:szCs w:val="22"/>
          <w:lang w:eastAsia="ja-JP"/>
        </w:rPr>
        <w:br/>
        <w:t>Oba mohou být ovlivněny situací v makroekonomice různým způsobem.</w:t>
      </w:r>
    </w:p>
    <w:p w14:paraId="7CEA3A3B"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pict w14:anchorId="37BA1908">
          <v:rect id="_x0000_i1134" style="width:0;height:1.5pt" o:hralign="center" o:hrstd="t" o:hr="t" fillcolor="#a0a0a0" stroked="f"/>
        </w:pict>
      </w:r>
    </w:p>
    <w:p w14:paraId="40C8F540"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Alternativy</w:t>
      </w:r>
    </w:p>
    <w:p w14:paraId="78757DA0"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 xml:space="preserve">Georgina Taylor, vedoucí </w:t>
      </w:r>
      <w:proofErr w:type="spellStart"/>
      <w:r w:rsidRPr="00847306">
        <w:rPr>
          <w:rFonts w:ascii="Invesco Interstate Light" w:eastAsia="MS Mincho" w:hAnsi="Invesco Interstate Light"/>
          <w:b/>
          <w:bCs/>
          <w:sz w:val="22"/>
          <w:szCs w:val="22"/>
          <w:lang w:eastAsia="ja-JP"/>
        </w:rPr>
        <w:t>Client</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Investment</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Solutions</w:t>
      </w:r>
      <w:proofErr w:type="spellEnd"/>
      <w:r w:rsidRPr="00847306">
        <w:rPr>
          <w:rFonts w:ascii="Invesco Interstate Light" w:eastAsia="MS Mincho" w:hAnsi="Invesco Interstate Light"/>
          <w:b/>
          <w:bCs/>
          <w:sz w:val="22"/>
          <w:szCs w:val="22"/>
          <w:lang w:eastAsia="ja-JP"/>
        </w:rPr>
        <w:t xml:space="preserve">, EMEA, a Paul </w:t>
      </w:r>
      <w:proofErr w:type="spellStart"/>
      <w:r w:rsidRPr="00847306">
        <w:rPr>
          <w:rFonts w:ascii="Invesco Interstate Light" w:eastAsia="MS Mincho" w:hAnsi="Invesco Interstate Light"/>
          <w:b/>
          <w:bCs/>
          <w:sz w:val="22"/>
          <w:szCs w:val="22"/>
          <w:lang w:eastAsia="ja-JP"/>
        </w:rPr>
        <w:t>Syms</w:t>
      </w:r>
      <w:proofErr w:type="spellEnd"/>
      <w:r w:rsidRPr="00847306">
        <w:rPr>
          <w:rFonts w:ascii="Invesco Interstate Light" w:eastAsia="MS Mincho" w:hAnsi="Invesco Interstate Light"/>
          <w:b/>
          <w:bCs/>
          <w:sz w:val="22"/>
          <w:szCs w:val="22"/>
          <w:lang w:eastAsia="ja-JP"/>
        </w:rPr>
        <w:t xml:space="preserve">, vedoucí </w:t>
      </w:r>
      <w:proofErr w:type="spellStart"/>
      <w:r w:rsidRPr="00847306">
        <w:rPr>
          <w:rFonts w:ascii="Invesco Interstate Light" w:eastAsia="MS Mincho" w:hAnsi="Invesco Interstate Light"/>
          <w:b/>
          <w:bCs/>
          <w:sz w:val="22"/>
          <w:szCs w:val="22"/>
          <w:lang w:eastAsia="ja-JP"/>
        </w:rPr>
        <w:t>ETFs</w:t>
      </w:r>
      <w:proofErr w:type="spellEnd"/>
      <w:r w:rsidRPr="00847306">
        <w:rPr>
          <w:rFonts w:ascii="Invesco Interstate Light" w:eastAsia="MS Mincho" w:hAnsi="Invesco Interstate Light"/>
          <w:b/>
          <w:bCs/>
          <w:sz w:val="22"/>
          <w:szCs w:val="22"/>
          <w:lang w:eastAsia="ja-JP"/>
        </w:rPr>
        <w:t xml:space="preserve"> pro </w:t>
      </w:r>
      <w:proofErr w:type="spellStart"/>
      <w:r w:rsidRPr="00847306">
        <w:rPr>
          <w:rFonts w:ascii="Invesco Interstate Light" w:eastAsia="MS Mincho" w:hAnsi="Invesco Interstate Light"/>
          <w:b/>
          <w:bCs/>
          <w:sz w:val="22"/>
          <w:szCs w:val="22"/>
          <w:lang w:eastAsia="ja-JP"/>
        </w:rPr>
        <w:t>fixed</w:t>
      </w:r>
      <w:proofErr w:type="spellEnd"/>
      <w:r w:rsidRPr="00847306">
        <w:rPr>
          <w:rFonts w:ascii="Invesco Interstate Light" w:eastAsia="MS Mincho" w:hAnsi="Invesco Interstate Light"/>
          <w:b/>
          <w:bCs/>
          <w:sz w:val="22"/>
          <w:szCs w:val="22"/>
          <w:lang w:eastAsia="ja-JP"/>
        </w:rPr>
        <w:t xml:space="preserve"> </w:t>
      </w:r>
      <w:proofErr w:type="spellStart"/>
      <w:r w:rsidRPr="00847306">
        <w:rPr>
          <w:rFonts w:ascii="Invesco Interstate Light" w:eastAsia="MS Mincho" w:hAnsi="Invesco Interstate Light"/>
          <w:b/>
          <w:bCs/>
          <w:sz w:val="22"/>
          <w:szCs w:val="22"/>
          <w:lang w:eastAsia="ja-JP"/>
        </w:rPr>
        <w:t>income</w:t>
      </w:r>
      <w:proofErr w:type="spellEnd"/>
      <w:r w:rsidRPr="00847306">
        <w:rPr>
          <w:rFonts w:ascii="Invesco Interstate Light" w:eastAsia="MS Mincho" w:hAnsi="Invesco Interstate Light"/>
          <w:b/>
          <w:bCs/>
          <w:sz w:val="22"/>
          <w:szCs w:val="22"/>
          <w:lang w:eastAsia="ja-JP"/>
        </w:rPr>
        <w:t xml:space="preserve"> &amp; </w:t>
      </w:r>
      <w:proofErr w:type="spellStart"/>
      <w:r w:rsidRPr="00847306">
        <w:rPr>
          <w:rFonts w:ascii="Invesco Interstate Light" w:eastAsia="MS Mincho" w:hAnsi="Invesco Interstate Light"/>
          <w:b/>
          <w:bCs/>
          <w:sz w:val="22"/>
          <w:szCs w:val="22"/>
          <w:lang w:eastAsia="ja-JP"/>
        </w:rPr>
        <w:t>commodities</w:t>
      </w:r>
      <w:proofErr w:type="spellEnd"/>
      <w:r w:rsidRPr="00847306">
        <w:rPr>
          <w:rFonts w:ascii="Invesco Interstate Light" w:eastAsia="MS Mincho" w:hAnsi="Invesco Interstate Light"/>
          <w:b/>
          <w:bCs/>
          <w:sz w:val="22"/>
          <w:szCs w:val="22"/>
          <w:lang w:eastAsia="ja-JP"/>
        </w:rPr>
        <w:t>, EMEA</w:t>
      </w:r>
    </w:p>
    <w:p w14:paraId="4E615A1C"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Soukromé trhy</w:t>
      </w:r>
    </w:p>
    <w:p w14:paraId="07CACF19" w14:textId="77777777" w:rsid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Existuje mnoho způsobů, jak zajistit do portfolia diverzifikaci. Například na akciových trzích existuje značná koncentrace. Soukromé trhy jsou proti tomu skvělým nástrojem – do této oblasti přichází více firem než na veřejné trhy.</w:t>
      </w:r>
    </w:p>
    <w:p w14:paraId="343820BE"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p>
    <w:p w14:paraId="0A77AD47"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Zlato</w:t>
      </w:r>
    </w:p>
    <w:p w14:paraId="2C3F434D"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t xml:space="preserve">Letos jsme zaznamenali velmi silnou výkonnost zlata a dalších drahých kovů. Významnou roli sehrály rozsáhlé nákupy centrálních bank v uplynulých letech, přičemž nabídka je omezená. Nečekám, že tato poptávka brzy odezní, takže cena může zůstat na současných úrovních. Z investičního pohledu však zlato nemusí být pouze o spekulaci na další růst ceny – stále má zásadní roli v portfoliích jako </w:t>
      </w:r>
      <w:proofErr w:type="spellStart"/>
      <w:r w:rsidRPr="00847306">
        <w:rPr>
          <w:rFonts w:ascii="Invesco Interstate Light" w:eastAsia="MS Mincho" w:hAnsi="Invesco Interstate Light"/>
          <w:sz w:val="22"/>
          <w:szCs w:val="22"/>
          <w:lang w:eastAsia="ja-JP"/>
        </w:rPr>
        <w:t>diverzifikátor</w:t>
      </w:r>
      <w:proofErr w:type="spellEnd"/>
      <w:r w:rsidRPr="00847306">
        <w:rPr>
          <w:rFonts w:ascii="Invesco Interstate Light" w:eastAsia="MS Mincho" w:hAnsi="Invesco Interstate Light"/>
          <w:sz w:val="22"/>
          <w:szCs w:val="22"/>
          <w:lang w:eastAsia="ja-JP"/>
        </w:rPr>
        <w:t>, s nízkou korelací s akciemi i dluhopisy, a navíc může fungovat jako zajištění proti inflaci.</w:t>
      </w:r>
    </w:p>
    <w:p w14:paraId="1205B7E5" w14:textId="77777777" w:rsidR="00847306" w:rsidRPr="00847306" w:rsidRDefault="00847306" w:rsidP="00847306">
      <w:pPr>
        <w:spacing w:line="360" w:lineRule="auto"/>
        <w:jc w:val="both"/>
        <w:rPr>
          <w:rFonts w:ascii="Invesco Interstate Light" w:eastAsia="MS Mincho" w:hAnsi="Invesco Interstate Light"/>
          <w:b/>
          <w:bCs/>
          <w:sz w:val="22"/>
          <w:szCs w:val="22"/>
          <w:lang w:eastAsia="ja-JP"/>
        </w:rPr>
      </w:pPr>
      <w:r w:rsidRPr="00847306">
        <w:rPr>
          <w:rFonts w:ascii="Invesco Interstate Light" w:eastAsia="MS Mincho" w:hAnsi="Invesco Interstate Light"/>
          <w:b/>
          <w:bCs/>
          <w:sz w:val="22"/>
          <w:szCs w:val="22"/>
          <w:lang w:eastAsia="ja-JP"/>
        </w:rPr>
        <w:t>Kryptoměny</w:t>
      </w:r>
    </w:p>
    <w:p w14:paraId="006C7448" w14:textId="77777777" w:rsidR="00847306" w:rsidRPr="00847306" w:rsidRDefault="00847306" w:rsidP="00847306">
      <w:pPr>
        <w:spacing w:line="360" w:lineRule="auto"/>
        <w:jc w:val="both"/>
        <w:rPr>
          <w:rFonts w:ascii="Invesco Interstate Light" w:eastAsia="MS Mincho" w:hAnsi="Invesco Interstate Light"/>
          <w:sz w:val="22"/>
          <w:szCs w:val="22"/>
          <w:lang w:eastAsia="ja-JP"/>
        </w:rPr>
      </w:pPr>
      <w:r w:rsidRPr="00847306">
        <w:rPr>
          <w:rFonts w:ascii="Invesco Interstate Light" w:eastAsia="MS Mincho" w:hAnsi="Invesco Interstate Light"/>
          <w:sz w:val="22"/>
          <w:szCs w:val="22"/>
          <w:lang w:eastAsia="ja-JP"/>
        </w:rPr>
        <w:lastRenderedPageBreak/>
        <w:t xml:space="preserve">V poslední době vidíme mnohem více dotazů na kryptoměny, zejména Bitcoin. Je to aktivum s omezenou nabídkou (v případě Bitcoinu), s diverzifikačními vlastnostmi. Korelace s ostatními třídami aktiv jsou velmi nízké – s americkými státními dluhopisy dokonce negativní, s akciemi nízké. A jak se trh stává </w:t>
      </w:r>
      <w:proofErr w:type="spellStart"/>
      <w:r w:rsidRPr="00847306">
        <w:rPr>
          <w:rFonts w:ascii="Invesco Interstate Light" w:eastAsia="MS Mincho" w:hAnsi="Invesco Interstate Light"/>
          <w:sz w:val="22"/>
          <w:szCs w:val="22"/>
          <w:lang w:eastAsia="ja-JP"/>
        </w:rPr>
        <w:t>etablovanějším</w:t>
      </w:r>
      <w:proofErr w:type="spellEnd"/>
      <w:r w:rsidRPr="00847306">
        <w:rPr>
          <w:rFonts w:ascii="Invesco Interstate Light" w:eastAsia="MS Mincho" w:hAnsi="Invesco Interstate Light"/>
          <w:sz w:val="22"/>
          <w:szCs w:val="22"/>
          <w:lang w:eastAsia="ja-JP"/>
        </w:rPr>
        <w:t xml:space="preserve">, volatilita postupně klesá. Nemusí mít tak dlouhou historii jako zlato, ale už nyní je vidět, jak může hrát roli v </w:t>
      </w:r>
      <w:proofErr w:type="spellStart"/>
      <w:r w:rsidRPr="00847306">
        <w:rPr>
          <w:rFonts w:ascii="Invesco Interstate Light" w:eastAsia="MS Mincho" w:hAnsi="Invesco Interstate Light"/>
          <w:sz w:val="22"/>
          <w:szCs w:val="22"/>
          <w:lang w:eastAsia="ja-JP"/>
        </w:rPr>
        <w:t>multi-asset</w:t>
      </w:r>
      <w:proofErr w:type="spellEnd"/>
      <w:r w:rsidRPr="00847306">
        <w:rPr>
          <w:rFonts w:ascii="Invesco Interstate Light" w:eastAsia="MS Mincho" w:hAnsi="Invesco Interstate Light"/>
          <w:sz w:val="22"/>
          <w:szCs w:val="22"/>
          <w:lang w:eastAsia="ja-JP"/>
        </w:rPr>
        <w:t xml:space="preserve"> portfoliích – z podobných důvodů jako zlato.</w:t>
      </w: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24C71C80" w14:textId="7C0B79C8" w:rsidR="008F44AF" w:rsidRDefault="4E481D2D" w:rsidP="00223CD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C37262D" w14:textId="77777777" w:rsidR="00223CD2" w:rsidRPr="00223CD2" w:rsidRDefault="00223CD2" w:rsidP="00223CD2">
      <w:pPr>
        <w:spacing w:line="360" w:lineRule="auto"/>
        <w:jc w:val="both"/>
        <w:rPr>
          <w:rFonts w:ascii="Invesco Interstate Light" w:eastAsia="MS Mincho" w:hAnsi="Invesco Interstate Light"/>
          <w:sz w:val="22"/>
          <w:szCs w:val="22"/>
          <w:lang w:eastAsia="ja-JP"/>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1" w:history="1">
        <w:r w:rsidRPr="00873CBF">
          <w:rPr>
            <w:rFonts w:ascii="Invesco Interstate Light" w:hAnsi="Invesco Interstate Light"/>
            <w:sz w:val="22"/>
            <w:szCs w:val="22"/>
          </w:rPr>
          <w:t>eliska.krohova@crestcom.cz</w:t>
        </w:r>
      </w:hyperlink>
    </w:p>
    <w:sectPr w:rsidR="00B84512" w:rsidRPr="00907B79" w:rsidSect="004854C2">
      <w:headerReference w:type="default" r:id="rId12"/>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044F" w14:textId="77777777" w:rsidR="00452721" w:rsidRDefault="00452721">
      <w:r>
        <w:separator/>
      </w:r>
    </w:p>
  </w:endnote>
  <w:endnote w:type="continuationSeparator" w:id="0">
    <w:p w14:paraId="41863AA9" w14:textId="77777777" w:rsidR="00452721" w:rsidRDefault="00452721">
      <w:r>
        <w:continuationSeparator/>
      </w:r>
    </w:p>
  </w:endnote>
  <w:endnote w:type="continuationNotice" w:id="1">
    <w:p w14:paraId="7203278C" w14:textId="77777777" w:rsidR="00452721" w:rsidRDefault="00452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A77D" w14:textId="77777777" w:rsidR="00452721" w:rsidRDefault="00452721">
      <w:r>
        <w:separator/>
      </w:r>
    </w:p>
  </w:footnote>
  <w:footnote w:type="continuationSeparator" w:id="0">
    <w:p w14:paraId="0E88F9CB" w14:textId="77777777" w:rsidR="00452721" w:rsidRDefault="00452721">
      <w:r>
        <w:continuationSeparator/>
      </w:r>
    </w:p>
  </w:footnote>
  <w:footnote w:type="continuationNotice" w:id="1">
    <w:p w14:paraId="33242493" w14:textId="77777777" w:rsidR="00452721" w:rsidRDefault="00452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0D70106F" w:rsidR="00702C33" w:rsidRPr="000730A6" w:rsidRDefault="008C7D9D" w:rsidP="0083625E">
    <w:pPr>
      <w:pStyle w:val="Zhlav"/>
      <w:pBdr>
        <w:top w:val="single" w:sz="4" w:space="3" w:color="auto"/>
      </w:pBdr>
      <w:spacing w:line="298" w:lineRule="exact"/>
      <w:ind w:left="3402"/>
      <w:jc w:val="right"/>
      <w:rPr>
        <w:color w:val="000000"/>
        <w:sz w:val="28"/>
        <w:szCs w:val="28"/>
      </w:rPr>
    </w:pPr>
    <w:r>
      <w:rPr>
        <w:color w:val="000000"/>
        <w:sz w:val="28"/>
        <w:szCs w:val="28"/>
      </w:rPr>
      <w:t>12</w:t>
    </w:r>
    <w:r w:rsidR="0083625E">
      <w:rPr>
        <w:color w:val="000000"/>
        <w:sz w:val="28"/>
        <w:szCs w:val="28"/>
      </w:rPr>
      <w:t>.</w:t>
    </w:r>
    <w:r w:rsidR="00625782">
      <w:rPr>
        <w:color w:val="000000"/>
        <w:sz w:val="28"/>
        <w:szCs w:val="28"/>
      </w:rPr>
      <w:t>1</w:t>
    </w:r>
    <w:r>
      <w:rPr>
        <w:color w:val="000000"/>
        <w:sz w:val="28"/>
        <w:szCs w:val="28"/>
      </w:rPr>
      <w:t>2</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A33281"/>
    <w:multiLevelType w:val="multilevel"/>
    <w:tmpl w:val="5F0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A46D70"/>
    <w:multiLevelType w:val="multilevel"/>
    <w:tmpl w:val="11820CCE"/>
    <w:numStyleLink w:val="FormatvorlageAufgezhlt"/>
  </w:abstractNum>
  <w:abstractNum w:abstractNumId="16"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630B23"/>
    <w:multiLevelType w:val="multilevel"/>
    <w:tmpl w:val="11820CCE"/>
    <w:numStyleLink w:val="FormatvorlageAufgezhlt"/>
  </w:abstractNum>
  <w:abstractNum w:abstractNumId="22"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5E3108"/>
    <w:multiLevelType w:val="multilevel"/>
    <w:tmpl w:val="8472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164D01"/>
    <w:multiLevelType w:val="multilevel"/>
    <w:tmpl w:val="CF5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D403C3"/>
    <w:multiLevelType w:val="multilevel"/>
    <w:tmpl w:val="11820CCE"/>
    <w:numStyleLink w:val="FormatvorlageAufgezhlt"/>
  </w:abstractNum>
  <w:abstractNum w:abstractNumId="34" w15:restartNumberingAfterBreak="0">
    <w:nsid w:val="6C6C4721"/>
    <w:multiLevelType w:val="multilevel"/>
    <w:tmpl w:val="11820CCE"/>
    <w:numStyleLink w:val="FormatvorlageAufgezhlt"/>
  </w:abstractNum>
  <w:abstractNum w:abstractNumId="35"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5380B"/>
    <w:multiLevelType w:val="multilevel"/>
    <w:tmpl w:val="11820CCE"/>
    <w:numStyleLink w:val="FormatvorlageAufgezhlt"/>
  </w:abstractNum>
  <w:abstractNum w:abstractNumId="38"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7"/>
  </w:num>
  <w:num w:numId="3" w16cid:durableId="1282105589">
    <w:abstractNumId w:val="30"/>
  </w:num>
  <w:num w:numId="4" w16cid:durableId="1617441895">
    <w:abstractNumId w:val="18"/>
  </w:num>
  <w:num w:numId="5" w16cid:durableId="1267425896">
    <w:abstractNumId w:val="21"/>
  </w:num>
  <w:num w:numId="6" w16cid:durableId="1792238606">
    <w:abstractNumId w:val="33"/>
  </w:num>
  <w:num w:numId="7" w16cid:durableId="190919629">
    <w:abstractNumId w:val="34"/>
  </w:num>
  <w:num w:numId="8" w16cid:durableId="2083285618">
    <w:abstractNumId w:val="1"/>
  </w:num>
  <w:num w:numId="9" w16cid:durableId="1653213567">
    <w:abstractNumId w:val="37"/>
  </w:num>
  <w:num w:numId="10" w16cid:durableId="849561851">
    <w:abstractNumId w:val="15"/>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3"/>
  </w:num>
  <w:num w:numId="14" w16cid:durableId="2009676695">
    <w:abstractNumId w:val="44"/>
  </w:num>
  <w:num w:numId="15" w16cid:durableId="1629623239">
    <w:abstractNumId w:val="29"/>
  </w:num>
  <w:num w:numId="16" w16cid:durableId="1975720235">
    <w:abstractNumId w:val="9"/>
  </w:num>
  <w:num w:numId="17" w16cid:durableId="103501300">
    <w:abstractNumId w:val="2"/>
  </w:num>
  <w:num w:numId="18" w16cid:durableId="1434014312">
    <w:abstractNumId w:val="32"/>
  </w:num>
  <w:num w:numId="19" w16cid:durableId="832065860">
    <w:abstractNumId w:val="35"/>
  </w:num>
  <w:num w:numId="20" w16cid:durableId="667943464">
    <w:abstractNumId w:val="41"/>
  </w:num>
  <w:num w:numId="21" w16cid:durableId="225343112">
    <w:abstractNumId w:val="39"/>
  </w:num>
  <w:num w:numId="22" w16cid:durableId="1319532336">
    <w:abstractNumId w:val="14"/>
  </w:num>
  <w:num w:numId="23" w16cid:durableId="1341154147">
    <w:abstractNumId w:val="27"/>
  </w:num>
  <w:num w:numId="24" w16cid:durableId="796413596">
    <w:abstractNumId w:val="19"/>
  </w:num>
  <w:num w:numId="25" w16cid:durableId="2010979537">
    <w:abstractNumId w:val="42"/>
  </w:num>
  <w:num w:numId="26" w16cid:durableId="951936802">
    <w:abstractNumId w:val="25"/>
  </w:num>
  <w:num w:numId="27" w16cid:durableId="1672954226">
    <w:abstractNumId w:val="3"/>
  </w:num>
  <w:num w:numId="28" w16cid:durableId="953906591">
    <w:abstractNumId w:val="7"/>
  </w:num>
  <w:num w:numId="29" w16cid:durableId="923606003">
    <w:abstractNumId w:val="38"/>
  </w:num>
  <w:num w:numId="30" w16cid:durableId="251279824">
    <w:abstractNumId w:val="12"/>
  </w:num>
  <w:num w:numId="31" w16cid:durableId="561334413">
    <w:abstractNumId w:val="8"/>
  </w:num>
  <w:num w:numId="32" w16cid:durableId="1464276347">
    <w:abstractNumId w:val="16"/>
  </w:num>
  <w:num w:numId="33" w16cid:durableId="514879310">
    <w:abstractNumId w:val="24"/>
  </w:num>
  <w:num w:numId="34" w16cid:durableId="511531335">
    <w:abstractNumId w:val="20"/>
  </w:num>
  <w:num w:numId="35" w16cid:durableId="1821118983">
    <w:abstractNumId w:val="22"/>
  </w:num>
  <w:num w:numId="36" w16cid:durableId="1789934776">
    <w:abstractNumId w:val="6"/>
  </w:num>
  <w:num w:numId="37" w16cid:durableId="1800874279">
    <w:abstractNumId w:val="13"/>
  </w:num>
  <w:num w:numId="38" w16cid:durableId="1039015436">
    <w:abstractNumId w:val="40"/>
  </w:num>
  <w:num w:numId="39" w16cid:durableId="1411855782">
    <w:abstractNumId w:val="31"/>
  </w:num>
  <w:num w:numId="40" w16cid:durableId="1680741308">
    <w:abstractNumId w:val="4"/>
  </w:num>
  <w:num w:numId="41" w16cid:durableId="1307934230">
    <w:abstractNumId w:val="26"/>
  </w:num>
  <w:num w:numId="42" w16cid:durableId="1547260435">
    <w:abstractNumId w:val="36"/>
  </w:num>
  <w:num w:numId="43" w16cid:durableId="777721367">
    <w:abstractNumId w:val="28"/>
  </w:num>
  <w:num w:numId="44" w16cid:durableId="1253928695">
    <w:abstractNumId w:val="11"/>
  </w:num>
  <w:num w:numId="45" w16cid:durableId="17647163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3CD2"/>
    <w:rsid w:val="00224246"/>
    <w:rsid w:val="00225C04"/>
    <w:rsid w:val="00225C5B"/>
    <w:rsid w:val="0022676E"/>
    <w:rsid w:val="002276D6"/>
    <w:rsid w:val="00227E13"/>
    <w:rsid w:val="00230CCE"/>
    <w:rsid w:val="00232A7E"/>
    <w:rsid w:val="00233E1A"/>
    <w:rsid w:val="002355DD"/>
    <w:rsid w:val="00235654"/>
    <w:rsid w:val="0023665C"/>
    <w:rsid w:val="0023742D"/>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1E1B"/>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2721"/>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3F8B"/>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4C5F"/>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47306"/>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C7D9D"/>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55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13"/>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12F"/>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6C98"/>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5E6"/>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3.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1335</Words>
  <Characters>7877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Jana Bělochová | CrestCommunications</cp:lastModifiedBy>
  <cp:revision>5</cp:revision>
  <cp:lastPrinted>2021-02-17T20:24:00Z</cp:lastPrinted>
  <dcterms:created xsi:type="dcterms:W3CDTF">2025-12-12T11:13:00Z</dcterms:created>
  <dcterms:modified xsi:type="dcterms:W3CDTF">2025-12-12T11:16:00Z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