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9D0" w14:textId="3D7ABA70" w:rsidR="00EA2342" w:rsidRPr="00EA2342" w:rsidRDefault="008B79AB" w:rsidP="00EA2342">
      <w:pPr>
        <w:spacing w:before="100" w:beforeAutospacing="1" w:after="100" w:afterAutospacing="1" w:line="266" w:lineRule="atLeast"/>
        <w:jc w:val="both"/>
        <w:outlineLvl w:val="0"/>
        <w:rPr>
          <w:rFonts w:ascii="Invesco Interstate Bold" w:hAnsi="Invesco Interstate Bold"/>
          <w:b/>
          <w:bCs/>
          <w:sz w:val="28"/>
          <w:szCs w:val="28"/>
        </w:rPr>
      </w:pPr>
      <w:proofErr w:type="spellStart"/>
      <w:r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  <w:r>
        <w:rPr>
          <w:rFonts w:ascii="Invesco Interstate Bold" w:hAnsi="Invesco Interstate Bold"/>
          <w:b/>
          <w:bCs/>
          <w:sz w:val="28"/>
          <w:szCs w:val="28"/>
        </w:rPr>
        <w:t>: Rok 2025 v kostce</w:t>
      </w:r>
    </w:p>
    <w:p w14:paraId="62D27D7A" w14:textId="77777777" w:rsidR="00E34967" w:rsidRDefault="00FA0868" w:rsidP="00034B4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 w:rsidRPr="00E34967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Komentář </w:t>
      </w:r>
      <w:r w:rsidRPr="00FA086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 xml:space="preserve">Paula Jacksona, hlavního globálního analytika společnosti </w:t>
      </w:r>
      <w:proofErr w:type="spellStart"/>
      <w:r w:rsidRPr="00FA0868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Invesco</w:t>
      </w:r>
      <w:proofErr w:type="spellEnd"/>
    </w:p>
    <w:p w14:paraId="63F208FB" w14:textId="77777777" w:rsidR="00ED177E" w:rsidRDefault="00ED177E" w:rsidP="00034B4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</w:p>
    <w:p w14:paraId="7AEE1D3C" w14:textId="3CC0A570" w:rsidR="00034B4E" w:rsidRPr="00E34967" w:rsidRDefault="008B79AB" w:rsidP="00034B4E">
      <w:pPr>
        <w:spacing w:line="360" w:lineRule="auto"/>
        <w:jc w:val="both"/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Navzdory obavám z celních sazeb byl rok 2025 pro většinu aktiv, zejména kovů a akciím, dobrým rokem. Výkonnost mého „Aristotelova seznamu 10 překvapení“ byla trochu odlišná. Před rokem jsme očekávali uvolnění měnové politiky centrálních bank a vyšší ekonomický růst, což vedlo k našemu optimismu ohledně vývoje trhu (viz přehled roku 2024). Centrální banky skutečně uvolnily měnovou politiku, ale ekonomický růst zklamal. Přesto byly výnosy aktiv zdravé. Nejlepší výkonnost globálních aktiv v roce 2025 zaznamenaly kovy a akcie (viz obrázek 3). </w:t>
      </w:r>
    </w:p>
    <w:p w14:paraId="6A6039BA" w14:textId="77777777" w:rsidR="008B79AB" w:rsidRDefault="008B79AB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8CAAB04" w14:textId="339C33EC" w:rsidR="00852C35" w:rsidRPr="008B79AB" w:rsidRDefault="008B79AB" w:rsidP="00852C3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Jedinými aktivy, která generovala záporné výnosy v dolarech, byly energetické tituly a zemědělství. Celkový výnos našeho neutrálního portfolia v roce 2024 ve výši 7,8 % v dolarech (11,0 % v místní měně) dělal v roce 2025 už výnos 16,3 % (+12,8 % v místní měně), což je nejvyšší hodnota od roku 2019. Neutrální portfolio je kombinace globálních hotovostních, dluhových, akciových, nemovitostních a komoditních aktiv (Obrázek 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>1</w:t>
      </w: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).</w:t>
      </w:r>
      <w:r w:rsidR="00DC1E4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="00852C35"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Pro připomenutí důležitých událostí uvádíme nejčtenější články agentury </w:t>
      </w:r>
      <w:proofErr w:type="spellStart"/>
      <w:r w:rsidR="00852C35"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Bloomberg</w:t>
      </w:r>
      <w:proofErr w:type="spellEnd"/>
      <w:r w:rsidR="00852C35"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 roce 2025 (parafrázováno): </w:t>
      </w:r>
    </w:p>
    <w:p w14:paraId="320F7765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1. Trump říká, že očekává reakci trhu (3. dubna) </w:t>
      </w:r>
    </w:p>
    <w:p w14:paraId="16642759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2. „Nedokážu si představit další zvýšení cel pro</w:t>
      </w:r>
    </w:p>
    <w:p w14:paraId="1B464A04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Čínu“ Trump (9. dubna)</w:t>
      </w:r>
    </w:p>
    <w:p w14:paraId="72923645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3. Trump mění názor na </w:t>
      </w:r>
      <w:proofErr w:type="spellStart"/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Powella</w:t>
      </w:r>
      <w:proofErr w:type="spellEnd"/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Čínu (24. dubna) </w:t>
      </w:r>
    </w:p>
    <w:p w14:paraId="6E38E575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4. Trumpova cla vyvolávají vlny šoku (3. dubna) </w:t>
      </w:r>
    </w:p>
    <w:p w14:paraId="17C7A507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5. Havárie letadla Air India si vyžádala 241 životů (12. června) </w:t>
      </w:r>
    </w:p>
    <w:p w14:paraId="6112CA31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6. Růst akcií AI oslabil čínský nováček (27. ledna) </w:t>
      </w:r>
    </w:p>
    <w:p w14:paraId="28E3B309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7. Trump pozastavuje zvyšování cel, zvyšuje sazby pro Čínu (10. dubna) </w:t>
      </w:r>
    </w:p>
    <w:p w14:paraId="42583610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8. „Moje chyba“: Bill </w:t>
      </w:r>
      <w:proofErr w:type="spellStart"/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Ackman</w:t>
      </w:r>
      <w:proofErr w:type="spellEnd"/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o neúspěchu s Trumpem (8. dubna) </w:t>
      </w:r>
    </w:p>
    <w:p w14:paraId="4D1EDCD4" w14:textId="77777777" w:rsidR="00852C35" w:rsidRPr="008B79AB" w:rsidRDefault="00852C35" w:rsidP="00852C35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9. </w:t>
      </w:r>
      <w:proofErr w:type="spellStart"/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Bessent</w:t>
      </w:r>
      <w:proofErr w:type="spellEnd"/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: Japonsko může dostat přednostní odpověď (7. dubna) </w:t>
      </w:r>
    </w:p>
    <w:p w14:paraId="7E5DF084" w14:textId="54EFC9F4" w:rsidR="00034B4E" w:rsidRDefault="00852C35" w:rsidP="007D3143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B79AB">
        <w:rPr>
          <w:rFonts w:ascii="Invesco Interstate Light" w:eastAsia="MS Mincho" w:hAnsi="Invesco Interstate Light"/>
          <w:sz w:val="22"/>
          <w:szCs w:val="22"/>
          <w:lang w:eastAsia="ja-JP"/>
        </w:rPr>
        <w:t>10. Nejlepší růst akcií od roku 2008 (9. dubna)</w:t>
      </w:r>
    </w:p>
    <w:p w14:paraId="02C5D8D9" w14:textId="77777777" w:rsidR="007D3143" w:rsidRPr="00034B4E" w:rsidRDefault="007D3143" w:rsidP="007D3143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DC9FB1B" w14:textId="4672A0F1" w:rsidR="00DC1E48" w:rsidRDefault="00DC1E48" w:rsidP="00DC1E4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DC1E4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Jako obvykle se špatné zprávy prodávají dobře a většina nejčtenějších článků byla negativního charakteru. Většina z nich vyšla ve dnech následujících po oznámení celních sazeb v „den osvobození“ 2. dubna (pozn.: v roce 2024 se celní sazby v 20 nejčtenějších článcích vůbec neobjevily). První zmínka o vojenském konfliktu se </w:t>
      </w:r>
      <w:r w:rsidRPr="00DC1E48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objevila v článku č. 14 a druhá zmínka o </w:t>
      </w:r>
      <w:proofErr w:type="spellStart"/>
      <w:r w:rsidRPr="00DC1E48">
        <w:rPr>
          <w:rFonts w:ascii="Invesco Interstate Light" w:eastAsia="MS Mincho" w:hAnsi="Invesco Interstate Light"/>
          <w:sz w:val="22"/>
          <w:szCs w:val="22"/>
          <w:lang w:eastAsia="ja-JP"/>
        </w:rPr>
        <w:t>Fedu</w:t>
      </w:r>
      <w:proofErr w:type="spellEnd"/>
      <w:r w:rsidRPr="00DC1E4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až v článku č. 38, kde se hovořilo o pokusu prezidenta Trumpa odvolat guvernérku Lisu Cookovou. Domnívám se, že pozitivní výsledky trhu vděčí za mnoho odolnosti globální ekonomiky a pokračujícímu uvolňování měnové politiky ze strany většiny centrálních bank. Cla a další geopolitické faktory přinesly pouze dočasnou volatilitu (viz obrázek 2). Na základě rozhovorů s investory z celého světa byly hlavními specializovanými tématy umělá inteligence a zlato. Dluhopisy sice zaostávaly za akciemi, ale podle mého názoru dosáhly slušných výnosů, zejména pokud je měříme v amerických dolarech (viz obrázek 3). Silné výnosy zaznamenaly i americké dluhopisy, ale vyrovnaly se jim dluhopisy rozvíjejících se trhů a překonaly je dluhopisy evropské (v amerických dolarech). Obrázek </w:t>
      </w:r>
      <w:r w:rsidR="00253688">
        <w:rPr>
          <w:rFonts w:ascii="Invesco Interstate Light" w:eastAsia="MS Mincho" w:hAnsi="Invesco Interstate Light"/>
          <w:sz w:val="22"/>
          <w:szCs w:val="22"/>
          <w:lang w:eastAsia="ja-JP"/>
        </w:rPr>
        <w:t>4</w:t>
      </w:r>
      <w:r w:rsidRPr="00DC1E4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ukazuje výsledky našeho ročního žebříčku v rámci jednotlivých skupin aktiv. Rozvíjející se trhy často dominují na obou koncích spektra, i když japonské státní dluhopisy se již třetí rok po sobě umisťují mezi třemi nejhoršími. Venezuela vedla žebříček akcií, a to jak v místní, tak ve společné měně (Čína byla nejvýkonnějším velkým akciovým trhem). Jinak se pozitivní výnosy argentinských akcií změnily na negativní, pokud byly měřeny v amerických dolarech. Navzdory stabilizaci během čtvrtého čtvrtletí roku 2025 argentinské peso oslabilo o více než 20 % (vůči americkému dolaru) a turecká lira byla také ovlivněna vysokou mírou inflace. Ruský rubl se po silném roce blíží předválečné úrovni.</w:t>
      </w:r>
    </w:p>
    <w:p w14:paraId="79FC7A67" w14:textId="77777777" w:rsidR="007D3143" w:rsidRDefault="007D314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A306A09" w14:textId="02E3D8B0" w:rsidR="00BA42A0" w:rsidRDefault="00BA42A0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Stejně jako v roce 2024 musely trhy čekat až do září na první snížení sazeb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Fedu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 tomto roce (ECB sazby snížila čtyřikrát v první polovině roku). Jakmile však Fed začal s uvolňováním měnové politiky, postupoval rychle a na třech po sobě jdoucích zasedáních sazby snížil o 25 bazických bodů. Poslední prezidentem jmenovaný člen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Fedu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(Stephen Miran) hlasoval na všech třech zasedáních pro snížení sazeb o 50 bazických bodů. Vzhledem k tomu, že funkční období předsedy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Powella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končí 15. května 2026 a prezident Trump se chystá oznámit jeho nástupce, bude zajímavé sledovat, jak se v průběhu roku 2026 změní dynamika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Fedu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(pokud vůbec). Jinde se budoucí vývoj sazeb centrálních bank jeví méně jasný, přičemž cyklus uvolňování ECB se podle mého názoru blíží ke konci, zatímco v Austrálii se nyní očekává spíše zpřísnění než uvolnění ze strany centrální banky a Bank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of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Japan postupně normalizuje sazby směrem nahoru. Rozhodování centrálních bank komplikuje zploštění inflace.</w:t>
      </w:r>
    </w:p>
    <w:p w14:paraId="5DB176EC" w14:textId="77777777" w:rsidR="007D3143" w:rsidRPr="00BA42A0" w:rsidRDefault="007D3143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E609D48" w14:textId="4A87EB6F" w:rsidR="00BA42A0" w:rsidRDefault="00BA42A0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USA se ale vyhnuly 4,0% inflaci, kterou jsem předpověděl v bodě č. 1 na mém seznamu 10 překvapení pro rok 2025 (zveřejněném 12. ledna 2025 – viz Aristotelův seznam: Prezident Macron odstoupí po volbách (ne neodstoupil), americký dolar oslabí v průběhu roku, neshody v EU způsobí rozšíření spreadů, americké akcie budou zaostávat za globálními indexy, turecké státní dluhopisy překonají globální indexy, cena uhlíku v EU </w:t>
      </w:r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překročí 90 EUR za tunu, keňské akcie překonají hlavní indexy,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bitcoin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klesne pod 50 000 USD, Evropa vyhraje </w:t>
      </w:r>
      <w:proofErr w:type="spellStart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Ryder</w:t>
      </w:r>
      <w:proofErr w:type="spellEnd"/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Cup (ano vyhrála). Výsledky většiny zbývajících bodů výše ze seznamu zatím nejsou známy. </w:t>
      </w:r>
    </w:p>
    <w:p w14:paraId="46133DC2" w14:textId="77777777" w:rsidR="004C725E" w:rsidRPr="00BA42A0" w:rsidRDefault="004C725E" w:rsidP="00BA42A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160A52A" w14:textId="626E5FC6" w:rsidR="00034B4E" w:rsidRPr="00034B4E" w:rsidRDefault="00BA42A0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Je nutné vše vnímat v kontextu převládajícího sentimentu na začátku roku (například optimismus ohledně amerických akcií a dolaru v souvislosti s „Trumpovým obchodem“). Zdá se, že rok 2025 bude pro Aristotelův seznam smíšeným rokem. Připomíná mi to slova Rudyarda Kiplinga: </w:t>
      </w:r>
      <w:r w:rsidRPr="004C725E">
        <w:rPr>
          <w:rFonts w:ascii="Invesco Interstate Light" w:eastAsia="MS Mincho" w:hAnsi="Invesco Interstate Light"/>
          <w:i/>
          <w:iCs/>
          <w:sz w:val="22"/>
          <w:szCs w:val="22"/>
          <w:lang w:eastAsia="ja-JP"/>
        </w:rPr>
        <w:t>„Pokud dokážeš čelit úspěchu i neúspěchu a brát je oba jako podvodníky, pak jsi vyrovnaný člověk...“</w:t>
      </w:r>
      <w:r w:rsidRPr="00BA42A0">
        <w:rPr>
          <w:rFonts w:ascii="Invesco Interstate Light" w:eastAsia="MS Mincho" w:hAnsi="Invesco Interstate Light"/>
          <w:sz w:val="22"/>
          <w:szCs w:val="22"/>
          <w:lang w:eastAsia="ja-JP"/>
        </w:rPr>
        <w:t>, což je dobré si pamatovat v dobrých i špatných časech. Výběr pro rok 2026 zveřejním na začátku ledna. V posledních týdnech a měsících jsem se setkal s mnoha investory, což mi pomáhá posoudit převládající náladu. Nadále věřím, že hlavním motorem výnosů budou ekonomické a politické cykly. Očekávám, že globální ekonomika zrychlí díky nedávnému i budoucímu uvolnění měnové politiky centrálních bank (a určitým fiskálním impulsům). Vede mě to k relativnímu optimismu ohledně výnosů z různých aktiv v roce 2026 (i když rok 2025 bude těžké překonat). Domnívám se, že hlavní otázky, které investoři řeší, jsou, zda dojde ke změně vedoucí pozice na akciovém trhu (výkonnost Velké 7 byla již v roce 2025 smíšená) a zda drahé kovy mohou zopakovat vynikající výkonnost z roku 2025 (jsem skeptický). Pokud není uvedeno jinak, všechna data jsou k 12. prosinci 2025.</w:t>
      </w:r>
    </w:p>
    <w:p w14:paraId="6CEE405E" w14:textId="77777777" w:rsidR="008A4420" w:rsidRDefault="008A4420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3ABC9E9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C5388AF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0C28DDAE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60A6BA6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708812C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F712BE2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F6B2528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7617927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AFC44A1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FFD91C6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8A156B4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3C11FDD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566A8CE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77BEFB4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2283C8A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B0DD025" w14:textId="58A7A315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>Obrázek</w:t>
      </w:r>
      <w:r w:rsidRPr="008B79AB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1: Model alokace aktiv</w:t>
      </w:r>
    </w:p>
    <w:p w14:paraId="7BF6CD6A" w14:textId="77777777" w:rsidR="007D3143" w:rsidRPr="008B79AB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852C35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drawing>
          <wp:inline distT="0" distB="0" distL="0" distR="0" wp14:anchorId="3C353CB9" wp14:editId="616759E0">
            <wp:extent cx="6108065" cy="6673850"/>
            <wp:effectExtent l="0" t="0" r="6985" b="0"/>
            <wp:docPr id="20616863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582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361A1" w14:textId="77777777" w:rsidR="007D3143" w:rsidRPr="00CA7E18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i/>
          <w:iCs/>
          <w:lang w:eastAsia="ja-JP"/>
        </w:rPr>
      </w:pPr>
      <w:r w:rsidRPr="00CA7E18">
        <w:rPr>
          <w:rFonts w:ascii="Invesco Interstate Light" w:eastAsia="MS Mincho" w:hAnsi="Invesco Interstate Light"/>
          <w:i/>
          <w:iCs/>
          <w:lang w:eastAsia="ja-JP"/>
        </w:rPr>
        <w:t>Poznámk</w:t>
      </w:r>
      <w:r>
        <w:rPr>
          <w:rFonts w:ascii="Invesco Interstate Light" w:eastAsia="MS Mincho" w:hAnsi="Invesco Interstate Light"/>
          <w:i/>
          <w:iCs/>
          <w:lang w:eastAsia="ja-JP"/>
        </w:rPr>
        <w:t>a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: **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Čí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na je zahrnuta do alokací rozvíjejících se trh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. Jedná se o teoretické portfolio, které slouží pouze pro ilustra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ní ú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ely. Více informací naleznete v nejnov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 xml:space="preserve">jším dokumentu </w:t>
      </w:r>
      <w:proofErr w:type="spellStart"/>
      <w:r w:rsidRPr="00CA7E18">
        <w:rPr>
          <w:rFonts w:ascii="Invesco Interstate Light" w:eastAsia="MS Mincho" w:hAnsi="Invesco Interstate Light"/>
          <w:i/>
          <w:iCs/>
          <w:lang w:eastAsia="ja-JP"/>
        </w:rPr>
        <w:t>The</w:t>
      </w:r>
      <w:proofErr w:type="spellEnd"/>
      <w:r w:rsidRPr="00CA7E18">
        <w:rPr>
          <w:rFonts w:ascii="Invesco Interstate Light" w:eastAsia="MS Mincho" w:hAnsi="Invesco Interstate Light"/>
          <w:i/>
          <w:iCs/>
          <w:lang w:eastAsia="ja-JP"/>
        </w:rPr>
        <w:t xml:space="preserve"> Big Picture. Nejedná se o skute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né portfolio a není doporu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ením žádné investi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ní nebo obchodní strategie. Šipky ozna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ují sm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r nejnov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>jších zm</w:t>
      </w:r>
      <w:r w:rsidRPr="00CA7E1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CA7E18">
        <w:rPr>
          <w:rFonts w:ascii="Invesco Interstate Light" w:eastAsia="MS Mincho" w:hAnsi="Invesco Interstate Light"/>
          <w:i/>
          <w:iCs/>
          <w:lang w:eastAsia="ja-JP"/>
        </w:rPr>
        <w:t xml:space="preserve">n. Zdroj: </w:t>
      </w:r>
      <w:proofErr w:type="spellStart"/>
      <w:r w:rsidRPr="00CA7E18">
        <w:rPr>
          <w:rFonts w:ascii="Invesco Interstate Light" w:eastAsia="MS Mincho" w:hAnsi="Invesco Interstate Light"/>
          <w:i/>
          <w:iCs/>
          <w:lang w:eastAsia="ja-JP"/>
        </w:rPr>
        <w:t>Invesco</w:t>
      </w:r>
      <w:proofErr w:type="spellEnd"/>
      <w:r w:rsidRPr="00CA7E18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proofErr w:type="spellStart"/>
      <w:r w:rsidRPr="00CA7E18">
        <w:rPr>
          <w:rFonts w:ascii="Invesco Interstate Light" w:eastAsia="MS Mincho" w:hAnsi="Invesco Interstate Light"/>
          <w:i/>
          <w:iCs/>
          <w:lang w:eastAsia="ja-JP"/>
        </w:rPr>
        <w:t>Strategy</w:t>
      </w:r>
      <w:proofErr w:type="spellEnd"/>
      <w:r w:rsidRPr="00CA7E18">
        <w:rPr>
          <w:rFonts w:ascii="Invesco Interstate Light" w:eastAsia="MS Mincho" w:hAnsi="Invesco Interstate Light"/>
          <w:i/>
          <w:iCs/>
          <w:lang w:eastAsia="ja-JP"/>
        </w:rPr>
        <w:t xml:space="preserve"> &amp; </w:t>
      </w:r>
      <w:proofErr w:type="spellStart"/>
      <w:r w:rsidRPr="00CA7E18">
        <w:rPr>
          <w:rFonts w:ascii="Invesco Interstate Light" w:eastAsia="MS Mincho" w:hAnsi="Invesco Interstate Light"/>
          <w:i/>
          <w:iCs/>
          <w:lang w:eastAsia="ja-JP"/>
        </w:rPr>
        <w:t>Insights</w:t>
      </w:r>
      <w:proofErr w:type="spellEnd"/>
    </w:p>
    <w:p w14:paraId="7FCDF3C5" w14:textId="77777777" w:rsidR="007D3143" w:rsidRDefault="007D3143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76D6A3C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588D757" w14:textId="4CA740CA" w:rsidR="007D3143" w:rsidRPr="00253688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253688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 xml:space="preserve">Obrázek 2: Graf roku: Index VIX – volatilita související s cly ustoupila klidu vyvolanému </w:t>
      </w:r>
      <w:proofErr w:type="spellStart"/>
      <w:r w:rsidRPr="00253688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Fedem</w:t>
      </w:r>
      <w:proofErr w:type="spellEnd"/>
    </w:p>
    <w:p w14:paraId="3DB9E678" w14:textId="77777777" w:rsidR="007D3143" w:rsidRPr="00DC1E48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53688">
        <w:rPr>
          <w:rFonts w:ascii="Invesco Interstate Light" w:eastAsia="MS Mincho" w:hAnsi="Invesco Interstate Light"/>
          <w:sz w:val="22"/>
          <w:szCs w:val="22"/>
          <w:lang w:eastAsia="ja-JP"/>
        </w:rPr>
        <w:drawing>
          <wp:inline distT="0" distB="0" distL="0" distR="0" wp14:anchorId="4504D6D0" wp14:editId="65B1D21F">
            <wp:extent cx="6108065" cy="2057400"/>
            <wp:effectExtent l="0" t="0" r="6985" b="0"/>
            <wp:docPr id="17212487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614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5679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6C1215E" w14:textId="77777777" w:rsidR="007D3143" w:rsidRPr="00253688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i/>
          <w:iCs/>
          <w:lang w:eastAsia="ja-JP"/>
        </w:rPr>
      </w:pPr>
      <w:r w:rsidRPr="00253688">
        <w:rPr>
          <w:rFonts w:ascii="Invesco Interstate Light" w:eastAsia="MS Mincho" w:hAnsi="Invesco Interstate Light"/>
          <w:i/>
          <w:iCs/>
          <w:lang w:eastAsia="ja-JP"/>
        </w:rPr>
        <w:t>Poznámky: Minulá výkonnost není zárukou budoucích výsledk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. Na základ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denních údaj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od 3. ledna 1990 do 12. prosince 2025 (k</w:t>
      </w:r>
      <w:r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12. prosinci 2025). Graf zobrazuje m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sí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ní pr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m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ry indexu VIX, a to jak za všechny m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síce od roku 1990, tak za rok 2025. VIX je index CBOE VIX Index a je výpo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tem ur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eným k m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ěř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ení konstantní 30denní o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ekávané volatility amerického akciového trhu, odvozeným z</w:t>
      </w:r>
      <w:r>
        <w:rPr>
          <w:rFonts w:ascii="Invesco Interstate Light" w:eastAsia="MS Mincho" w:hAnsi="Invesco Interstate Light"/>
          <w:i/>
          <w:iCs/>
          <w:lang w:eastAsia="ja-JP"/>
        </w:rPr>
        <w:t> 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>reálných</w:t>
      </w:r>
      <w:r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cen call a </w:t>
      </w:r>
      <w:proofErr w:type="spellStart"/>
      <w:r w:rsidRPr="00253688">
        <w:rPr>
          <w:rFonts w:ascii="Invesco Interstate Light" w:eastAsia="MS Mincho" w:hAnsi="Invesco Interstate Light"/>
          <w:i/>
          <w:iCs/>
          <w:lang w:eastAsia="ja-JP"/>
        </w:rPr>
        <w:t>put</w:t>
      </w:r>
      <w:proofErr w:type="spellEnd"/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opcí indexu S&amp;P 500® (SPX℠) v reálném </w:t>
      </w:r>
      <w:r w:rsidRPr="00253688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ase. Zdroj: </w:t>
      </w:r>
      <w:proofErr w:type="spellStart"/>
      <w:r w:rsidRPr="00253688">
        <w:rPr>
          <w:rFonts w:ascii="Invesco Interstate Light" w:eastAsia="MS Mincho" w:hAnsi="Invesco Interstate Light"/>
          <w:i/>
          <w:iCs/>
          <w:lang w:eastAsia="ja-JP"/>
        </w:rPr>
        <w:t>Bloomberg</w:t>
      </w:r>
      <w:proofErr w:type="spellEnd"/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a </w:t>
      </w:r>
      <w:proofErr w:type="spellStart"/>
      <w:r w:rsidRPr="00253688">
        <w:rPr>
          <w:rFonts w:ascii="Invesco Interstate Light" w:eastAsia="MS Mincho" w:hAnsi="Invesco Interstate Light"/>
          <w:i/>
          <w:iCs/>
          <w:lang w:eastAsia="ja-JP"/>
        </w:rPr>
        <w:t>Invesco</w:t>
      </w:r>
      <w:proofErr w:type="spellEnd"/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proofErr w:type="spellStart"/>
      <w:r w:rsidRPr="00253688">
        <w:rPr>
          <w:rFonts w:ascii="Invesco Interstate Light" w:eastAsia="MS Mincho" w:hAnsi="Invesco Interstate Light"/>
          <w:i/>
          <w:iCs/>
          <w:lang w:eastAsia="ja-JP"/>
        </w:rPr>
        <w:t>Strategy</w:t>
      </w:r>
      <w:proofErr w:type="spellEnd"/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&amp; </w:t>
      </w:r>
      <w:proofErr w:type="spellStart"/>
      <w:r w:rsidRPr="00253688">
        <w:rPr>
          <w:rFonts w:ascii="Invesco Interstate Light" w:eastAsia="MS Mincho" w:hAnsi="Invesco Interstate Light"/>
          <w:i/>
          <w:iCs/>
          <w:lang w:eastAsia="ja-JP"/>
        </w:rPr>
        <w:t>Insights</w:t>
      </w:r>
      <w:proofErr w:type="spellEnd"/>
      <w:r w:rsidRPr="00253688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</w:p>
    <w:p w14:paraId="4A2A02F1" w14:textId="77777777" w:rsidR="007D3143" w:rsidRPr="00253688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4F7338F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BEAA67A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466FB85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154B38E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536901E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53F9A3B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DD60BAE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64C8EE0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DA1E938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5DB40D47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5BF0DA9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FBBDCD6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8DA177E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0976844A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5C94F3F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3D910F61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47E9102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8BFB1B0" w14:textId="0107D4E2" w:rsidR="007D3143" w:rsidRPr="00AA7339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AA7339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>Obrázek 3 – Celkové výnosy jednotlivých t</w:t>
      </w:r>
      <w:r w:rsidRPr="00AA7339">
        <w:rPr>
          <w:rFonts w:ascii="Invesco Interstate Light" w:eastAsia="MS Mincho" w:hAnsi="Invesco Interstate Light" w:hint="eastAsia"/>
          <w:b/>
          <w:bCs/>
          <w:sz w:val="22"/>
          <w:szCs w:val="22"/>
          <w:lang w:eastAsia="ja-JP"/>
        </w:rPr>
        <w:t>ří</w:t>
      </w:r>
      <w:r w:rsidRPr="00AA7339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d aktiv (%) </w:t>
      </w:r>
    </w:p>
    <w:p w14:paraId="7D109A7B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6A063C">
        <w:rPr>
          <w:rFonts w:ascii="Invesco Interstate Light" w:eastAsia="MS Mincho" w:hAnsi="Invesco Interstate Light"/>
          <w:sz w:val="22"/>
          <w:szCs w:val="22"/>
          <w:lang w:eastAsia="ja-JP"/>
        </w:rPr>
        <w:drawing>
          <wp:inline distT="0" distB="0" distL="0" distR="0" wp14:anchorId="71D6EEA3" wp14:editId="5D8DDB53">
            <wp:extent cx="6108065" cy="7029450"/>
            <wp:effectExtent l="0" t="0" r="6985" b="0"/>
            <wp:docPr id="1102422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6346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4FF5" w14:textId="77777777" w:rsidR="007D3143" w:rsidRPr="006A063C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i/>
          <w:iCs/>
          <w:lang w:eastAsia="ja-JP"/>
        </w:rPr>
      </w:pPr>
      <w:r w:rsidRPr="006A063C">
        <w:rPr>
          <w:rFonts w:ascii="Invesco Interstate Light" w:eastAsia="MS Mincho" w:hAnsi="Invesco Interstate Light"/>
          <w:i/>
          <w:iCs/>
          <w:lang w:eastAsia="ja-JP"/>
        </w:rPr>
        <w:t>Poznámka: Minulá výkonnost není zárukou budoucích výsledk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. *M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nová 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čá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st je uspo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řá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dána tak, aby 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čí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sla ve všech p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ří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padech zobrazovala pohyb uvedené m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ny v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ůč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i USD (+ve ozna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uje zhodnocení, -ve ozna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uje znehodnocení). Definice, metodiku a prohlášení o vylou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č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ení odpov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>dnosti naleznete v p</w:t>
      </w:r>
      <w:r w:rsidRPr="006A063C">
        <w:rPr>
          <w:rFonts w:ascii="Invesco Interstate Light" w:eastAsia="MS Mincho" w:hAnsi="Invesco Interstate Light" w:hint="eastAsia"/>
          <w:i/>
          <w:iCs/>
          <w:lang w:eastAsia="ja-JP"/>
        </w:rPr>
        <w:t>ří</w:t>
      </w:r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loze. Zdroj: LSEG </w:t>
      </w:r>
      <w:proofErr w:type="spellStart"/>
      <w:r w:rsidRPr="006A063C">
        <w:rPr>
          <w:rFonts w:ascii="Invesco Interstate Light" w:eastAsia="MS Mincho" w:hAnsi="Invesco Interstate Light"/>
          <w:i/>
          <w:iCs/>
          <w:lang w:eastAsia="ja-JP"/>
        </w:rPr>
        <w:t>Datastream</w:t>
      </w:r>
      <w:proofErr w:type="spellEnd"/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 a </w:t>
      </w:r>
      <w:proofErr w:type="spellStart"/>
      <w:r w:rsidRPr="006A063C">
        <w:rPr>
          <w:rFonts w:ascii="Invesco Interstate Light" w:eastAsia="MS Mincho" w:hAnsi="Invesco Interstate Light"/>
          <w:i/>
          <w:iCs/>
          <w:lang w:eastAsia="ja-JP"/>
        </w:rPr>
        <w:t>Invesco</w:t>
      </w:r>
      <w:proofErr w:type="spellEnd"/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proofErr w:type="spellStart"/>
      <w:r w:rsidRPr="006A063C">
        <w:rPr>
          <w:rFonts w:ascii="Invesco Interstate Light" w:eastAsia="MS Mincho" w:hAnsi="Invesco Interstate Light"/>
          <w:i/>
          <w:iCs/>
          <w:lang w:eastAsia="ja-JP"/>
        </w:rPr>
        <w:t>Strategy</w:t>
      </w:r>
      <w:proofErr w:type="spellEnd"/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 &amp; </w:t>
      </w:r>
      <w:proofErr w:type="spellStart"/>
      <w:r w:rsidRPr="006A063C">
        <w:rPr>
          <w:rFonts w:ascii="Invesco Interstate Light" w:eastAsia="MS Mincho" w:hAnsi="Invesco Interstate Light"/>
          <w:i/>
          <w:iCs/>
          <w:lang w:eastAsia="ja-JP"/>
        </w:rPr>
        <w:t>Insights</w:t>
      </w:r>
      <w:proofErr w:type="spellEnd"/>
      <w:r w:rsidRPr="006A063C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</w:p>
    <w:p w14:paraId="771F1370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E399AAF" w14:textId="77777777" w:rsidR="007D3143" w:rsidRPr="00AA0B81" w:rsidRDefault="007D3143" w:rsidP="007D3143">
      <w:pPr>
        <w:spacing w:line="360" w:lineRule="auto"/>
        <w:jc w:val="both"/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</w:pPr>
      <w:r w:rsidRPr="00AA0B81"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Obrázek 4: Nejlepší a nejhorší výsledky podle t</w:t>
      </w:r>
      <w:r w:rsidRPr="00AA0B81">
        <w:rPr>
          <w:rFonts w:ascii="Invesco Interstate Light" w:eastAsia="Invesco Interstate Light" w:hAnsi="Invesco Interstate Light" w:cs="Invesco Interstate Light" w:hint="eastAsia"/>
          <w:b/>
          <w:bCs/>
          <w:sz w:val="22"/>
          <w:szCs w:val="22"/>
        </w:rPr>
        <w:t>ří</w:t>
      </w:r>
      <w:r w:rsidRPr="00AA0B81"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dy aktiv v roce 2025 (celkové výnosy od za</w:t>
      </w:r>
      <w:r w:rsidRPr="00AA0B81">
        <w:rPr>
          <w:rFonts w:ascii="Invesco Interstate Light" w:eastAsia="Invesco Interstate Light" w:hAnsi="Invesco Interstate Light" w:cs="Invesco Interstate Light" w:hint="eastAsia"/>
          <w:b/>
          <w:bCs/>
          <w:sz w:val="22"/>
          <w:szCs w:val="22"/>
        </w:rPr>
        <w:t>čá</w:t>
      </w:r>
      <w:r w:rsidRPr="00AA0B81"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tku roku, %)</w:t>
      </w:r>
    </w:p>
    <w:p w14:paraId="02F01FA4" w14:textId="77777777" w:rsidR="007D3143" w:rsidRDefault="007D3143" w:rsidP="007D3143">
      <w:pPr>
        <w:spacing w:line="360" w:lineRule="auto"/>
        <w:jc w:val="both"/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</w:pPr>
      <w:r w:rsidRPr="00AA0B81"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 xml:space="preserve">Akcie (USD) </w:t>
      </w:r>
    </w:p>
    <w:p w14:paraId="50FA97FD" w14:textId="77777777" w:rsidR="007D3143" w:rsidRDefault="007D3143" w:rsidP="007D3143">
      <w:pPr>
        <w:spacing w:line="360" w:lineRule="auto"/>
        <w:jc w:val="both"/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</w:pPr>
    </w:p>
    <w:p w14:paraId="38A5B4B5" w14:textId="77777777" w:rsidR="007D3143" w:rsidRDefault="007D3143" w:rsidP="007D3143">
      <w:pPr>
        <w:spacing w:line="360" w:lineRule="auto"/>
        <w:jc w:val="both"/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</w:pPr>
      <w:r w:rsidRPr="00AA0B81"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drawing>
          <wp:inline distT="0" distB="0" distL="0" distR="0" wp14:anchorId="2623DF96" wp14:editId="49454E90">
            <wp:extent cx="6108065" cy="2397760"/>
            <wp:effectExtent l="0" t="0" r="6985" b="2540"/>
            <wp:docPr id="3513781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268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24E88" w14:textId="77777777" w:rsidR="007D3143" w:rsidRPr="00AA0B81" w:rsidRDefault="007D3143" w:rsidP="007D3143">
      <w:pPr>
        <w:spacing w:line="360" w:lineRule="auto"/>
        <w:jc w:val="both"/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</w:pPr>
    </w:p>
    <w:p w14:paraId="015B9BE4" w14:textId="77777777" w:rsidR="007D3143" w:rsidRPr="00DF1F6E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i/>
          <w:iCs/>
          <w:lang w:eastAsia="ja-JP"/>
        </w:rPr>
      </w:pPr>
      <w:r w:rsidRPr="00DF1F6E">
        <w:rPr>
          <w:rFonts w:ascii="Invesco Interstate Light" w:eastAsia="MS Mincho" w:hAnsi="Invesco Interstate Light"/>
          <w:i/>
          <w:iCs/>
          <w:lang w:eastAsia="ja-JP"/>
        </w:rPr>
        <w:t>Minulá výkonnost není zárukou budoucích výsledk</w:t>
      </w:r>
      <w:r w:rsidRPr="00DF1F6E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DF1F6E">
        <w:rPr>
          <w:rFonts w:ascii="Invesco Interstate Light" w:eastAsia="MS Mincho" w:hAnsi="Invesco Interstate Light"/>
          <w:i/>
          <w:iCs/>
          <w:lang w:eastAsia="ja-JP"/>
        </w:rPr>
        <w:t>. K 12. prosinci 2025. Údaje o akciích vycházejí z index</w:t>
      </w:r>
      <w:r w:rsidRPr="00DF1F6E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Datastream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>; indexy státních dluhopis</w:t>
      </w:r>
      <w:r w:rsidRPr="00DF1F6E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poskytuje ICE 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BofA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>; m</w:t>
      </w:r>
      <w:r w:rsidRPr="00DF1F6E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ny vycházejí </w:t>
      </w:r>
      <w:proofErr w:type="gramStart"/>
      <w:r w:rsidRPr="00DF1F6E">
        <w:rPr>
          <w:rFonts w:ascii="Invesco Interstate Light" w:eastAsia="MS Mincho" w:hAnsi="Invesco Interstate Light"/>
          <w:i/>
          <w:iCs/>
          <w:lang w:eastAsia="ja-JP"/>
        </w:rPr>
        <w:t>z</w:t>
      </w:r>
      <w:proofErr w:type="gramEnd"/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sm</w:t>
      </w:r>
      <w:r w:rsidRPr="00DF1F6E">
        <w:rPr>
          <w:rFonts w:ascii="Invesco Interstate Light" w:eastAsia="MS Mincho" w:hAnsi="Invesco Interstate Light" w:hint="eastAsia"/>
          <w:i/>
          <w:iCs/>
          <w:lang w:eastAsia="ja-JP"/>
        </w:rPr>
        <w:t>ě</w:t>
      </w:r>
      <w:r w:rsidRPr="00DF1F6E">
        <w:rPr>
          <w:rFonts w:ascii="Invesco Interstate Light" w:eastAsia="MS Mincho" w:hAnsi="Invesco Interstate Light"/>
          <w:i/>
          <w:iCs/>
          <w:lang w:eastAsia="ja-JP"/>
        </w:rPr>
        <w:t>nných kurz</w:t>
      </w:r>
      <w:r w:rsidRPr="00DF1F6E">
        <w:rPr>
          <w:rFonts w:ascii="Invesco Interstate Light" w:eastAsia="MS Mincho" w:hAnsi="Invesco Interstate Light" w:hint="eastAsia"/>
          <w:i/>
          <w:iCs/>
          <w:lang w:eastAsia="ja-JP"/>
        </w:rPr>
        <w:t>ů</w:t>
      </w:r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WM/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Refinitiv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.  Zdroj: LSEG 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Datastream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a 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Invesco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Strategy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 xml:space="preserve"> &amp; </w:t>
      </w:r>
      <w:proofErr w:type="spellStart"/>
      <w:r w:rsidRPr="00DF1F6E">
        <w:rPr>
          <w:rFonts w:ascii="Invesco Interstate Light" w:eastAsia="MS Mincho" w:hAnsi="Invesco Interstate Light"/>
          <w:i/>
          <w:iCs/>
          <w:lang w:eastAsia="ja-JP"/>
        </w:rPr>
        <w:t>Insights</w:t>
      </w:r>
      <w:proofErr w:type="spellEnd"/>
      <w:r w:rsidRPr="00DF1F6E">
        <w:rPr>
          <w:rFonts w:ascii="Invesco Interstate Light" w:eastAsia="MS Mincho" w:hAnsi="Invesco Interstate Light"/>
          <w:i/>
          <w:iCs/>
          <w:lang w:eastAsia="ja-JP"/>
        </w:rPr>
        <w:t>.</w:t>
      </w:r>
    </w:p>
    <w:p w14:paraId="32781D32" w14:textId="77777777" w:rsidR="007D3143" w:rsidRDefault="007D3143" w:rsidP="007D3143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46F8688" w14:textId="77777777" w:rsidR="007D3143" w:rsidRDefault="007D3143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4BDA3293" w:rsidR="00497B07" w:rsidRPr="00625782" w:rsidRDefault="4E481D2D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lastRenderedPageBreak/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5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6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6544" w14:textId="77777777" w:rsidR="0089461C" w:rsidRDefault="0089461C">
      <w:r>
        <w:separator/>
      </w:r>
    </w:p>
  </w:endnote>
  <w:endnote w:type="continuationSeparator" w:id="0">
    <w:p w14:paraId="4DD9211F" w14:textId="77777777" w:rsidR="0089461C" w:rsidRDefault="0089461C">
      <w:r>
        <w:continuationSeparator/>
      </w:r>
    </w:p>
  </w:endnote>
  <w:endnote w:type="continuationNotice" w:id="1">
    <w:p w14:paraId="170F0CBF" w14:textId="77777777" w:rsidR="0089461C" w:rsidRDefault="008946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03AA" w14:textId="77777777" w:rsidR="0089461C" w:rsidRDefault="0089461C">
      <w:r>
        <w:separator/>
      </w:r>
    </w:p>
  </w:footnote>
  <w:footnote w:type="continuationSeparator" w:id="0">
    <w:p w14:paraId="388A66AC" w14:textId="77777777" w:rsidR="0089461C" w:rsidRDefault="0089461C">
      <w:r>
        <w:continuationSeparator/>
      </w:r>
    </w:p>
  </w:footnote>
  <w:footnote w:type="continuationNotice" w:id="1">
    <w:p w14:paraId="5BF9C471" w14:textId="77777777" w:rsidR="0089461C" w:rsidRDefault="008946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59A5D358">
      <w:rPr>
        <w:rFonts w:ascii="Invesco Interstate Bold" w:hAnsi="Invesco Interstate Bold"/>
        <w:sz w:val="28"/>
        <w:szCs w:val="28"/>
      </w:rPr>
      <w:t>Press</w:t>
    </w:r>
    <w:proofErr w:type="spellEnd"/>
    <w:r w:rsidR="59A5D358">
      <w:rPr>
        <w:rFonts w:ascii="Invesco Interstate Bold" w:hAnsi="Invesco Interstate Bold"/>
        <w:sz w:val="28"/>
        <w:szCs w:val="28"/>
      </w:rPr>
      <w:t xml:space="preserve">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4C6C39A5" w:rsidR="00702C33" w:rsidRPr="000730A6" w:rsidRDefault="00625782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8B79AB">
      <w:rPr>
        <w:color w:val="000000"/>
        <w:sz w:val="28"/>
        <w:szCs w:val="28"/>
      </w:rPr>
      <w:t>9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1</w:t>
    </w:r>
    <w:r w:rsidR="008B79AB">
      <w:rPr>
        <w:color w:val="000000"/>
        <w:sz w:val="28"/>
        <w:szCs w:val="28"/>
      </w:rPr>
      <w:t>2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055A79">
      <w:rPr>
        <w:color w:val="000000"/>
        <w:sz w:val="28"/>
        <w:szCs w:val="28"/>
      </w:rPr>
      <w:t>5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5380B"/>
    <w:multiLevelType w:val="multilevel"/>
    <w:tmpl w:val="11820CCE"/>
    <w:numStyleLink w:val="FormatvorlageAufgezhlt"/>
  </w:abstractNum>
  <w:abstractNum w:abstractNumId="35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4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0"/>
  </w:num>
  <w:num w:numId="14" w16cid:durableId="2009676695">
    <w:abstractNumId w:val="41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8"/>
  </w:num>
  <w:num w:numId="21" w16cid:durableId="225343112">
    <w:abstractNumId w:val="36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39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5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7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84B"/>
    <w:rsid w:val="00D55031"/>
    <w:rsid w:val="00D56654"/>
    <w:rsid w:val="00D56709"/>
    <w:rsid w:val="00D60133"/>
    <w:rsid w:val="00D60C5E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2556"/>
    <w:rsid w:val="00DD2CDE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liska.krohova@crest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1370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Gabriela Hampejsová</cp:lastModifiedBy>
  <cp:revision>2</cp:revision>
  <cp:lastPrinted>2021-02-17T20:24:00Z</cp:lastPrinted>
  <dcterms:created xsi:type="dcterms:W3CDTF">2025-12-19T09:56:00Z</dcterms:created>
  <dcterms:modified xsi:type="dcterms:W3CDTF">2025-12-19T09:56:00Z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