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A33" w14:textId="77777777" w:rsidR="00543611" w:rsidRPr="005916E5" w:rsidRDefault="00543611" w:rsidP="00B038A8">
      <w:pPr>
        <w:spacing w:line="276" w:lineRule="auto"/>
        <w:jc w:val="both"/>
        <w:rPr>
          <w:rFonts w:ascii="Arial" w:hAnsi="Arial" w:cs="Arial"/>
        </w:rPr>
      </w:pPr>
    </w:p>
    <w:p w14:paraId="67AB624A" w14:textId="271B0DF0" w:rsidR="00F77C6C" w:rsidRPr="005916E5" w:rsidRDefault="001B7AA7" w:rsidP="005916E5">
      <w:pPr>
        <w:spacing w:line="276" w:lineRule="auto"/>
        <w:jc w:val="center"/>
        <w:rPr>
          <w:rFonts w:ascii="Arial" w:hAnsi="Arial" w:cs="Arial"/>
          <w:b/>
          <w:bCs/>
          <w:sz w:val="28"/>
          <w:szCs w:val="28"/>
        </w:rPr>
      </w:pPr>
      <w:r w:rsidRPr="005916E5">
        <w:rPr>
          <w:rFonts w:ascii="Arial" w:hAnsi="Arial" w:cs="Arial"/>
          <w:b/>
          <w:bCs/>
          <w:sz w:val="28"/>
          <w:szCs w:val="28"/>
        </w:rPr>
        <w:t>Češi letos plánují investovat do bydlení i zážitků, jejich záměry se liší dle regionů</w:t>
      </w:r>
    </w:p>
    <w:p w14:paraId="76DFBB77" w14:textId="1727624A" w:rsidR="00ED196C" w:rsidRPr="001B7AA7" w:rsidRDefault="00ED196C" w:rsidP="00ED196C">
      <w:pPr>
        <w:rPr>
          <w:rFonts w:ascii="Arial" w:hAnsi="Arial" w:cs="Arial"/>
          <w:sz w:val="21"/>
          <w:szCs w:val="21"/>
        </w:rPr>
      </w:pPr>
      <w:r w:rsidRPr="001B7AA7">
        <w:rPr>
          <w:rFonts w:ascii="Arial" w:hAnsi="Arial" w:cs="Arial"/>
          <w:b/>
          <w:bCs/>
          <w:sz w:val="21"/>
          <w:szCs w:val="21"/>
        </w:rPr>
        <w:t xml:space="preserve">Brno, </w:t>
      </w:r>
      <w:r w:rsidR="005916E5">
        <w:rPr>
          <w:rFonts w:ascii="Arial" w:hAnsi="Arial" w:cs="Arial"/>
          <w:b/>
          <w:bCs/>
          <w:sz w:val="21"/>
          <w:szCs w:val="21"/>
        </w:rPr>
        <w:t>2</w:t>
      </w:r>
      <w:r w:rsidRPr="001B7AA7">
        <w:rPr>
          <w:rFonts w:ascii="Arial" w:hAnsi="Arial" w:cs="Arial"/>
          <w:b/>
          <w:bCs/>
          <w:sz w:val="21"/>
          <w:szCs w:val="21"/>
        </w:rPr>
        <w:t xml:space="preserve">. </w:t>
      </w:r>
      <w:r w:rsidR="000B19B8" w:rsidRPr="001B7AA7">
        <w:rPr>
          <w:rFonts w:ascii="Arial" w:hAnsi="Arial" w:cs="Arial"/>
          <w:b/>
          <w:bCs/>
          <w:sz w:val="21"/>
          <w:szCs w:val="21"/>
        </w:rPr>
        <w:t>6.</w:t>
      </w:r>
      <w:r w:rsidRPr="001B7AA7">
        <w:rPr>
          <w:rFonts w:ascii="Arial" w:hAnsi="Arial" w:cs="Arial"/>
          <w:b/>
          <w:bCs/>
          <w:sz w:val="21"/>
          <w:szCs w:val="21"/>
        </w:rPr>
        <w:t xml:space="preserve"> 2026</w:t>
      </w:r>
    </w:p>
    <w:p w14:paraId="6CD36FE9" w14:textId="0129EFE9" w:rsidR="000B19B8" w:rsidRPr="00A3190D" w:rsidRDefault="000B19B8" w:rsidP="001B7AA7">
      <w:pPr>
        <w:spacing w:line="276" w:lineRule="auto"/>
        <w:rPr>
          <w:rFonts w:ascii="Arial" w:hAnsi="Arial" w:cs="Arial"/>
          <w:b/>
          <w:bCs/>
          <w:strike/>
          <w:spacing w:val="8"/>
          <w:sz w:val="21"/>
          <w:szCs w:val="21"/>
          <w:shd w:val="clear" w:color="auto" w:fill="FFFFFF"/>
        </w:rPr>
      </w:pPr>
      <w:r w:rsidRPr="00A3190D">
        <w:rPr>
          <w:rFonts w:ascii="Arial" w:hAnsi="Arial" w:cs="Arial"/>
          <w:b/>
          <w:bCs/>
          <w:spacing w:val="8"/>
          <w:sz w:val="21"/>
          <w:szCs w:val="21"/>
          <w:shd w:val="clear" w:color="auto" w:fill="FFFFFF"/>
        </w:rPr>
        <w:t xml:space="preserve">Jaké plány mají letos Češi s většími nákupy? Budou investovat do bydlení, dovolených, pohodlí, cestování nebo </w:t>
      </w:r>
      <w:r w:rsidR="00E07E37">
        <w:rPr>
          <w:rFonts w:ascii="Arial" w:hAnsi="Arial" w:cs="Arial"/>
          <w:b/>
          <w:bCs/>
          <w:spacing w:val="8"/>
          <w:sz w:val="21"/>
          <w:szCs w:val="21"/>
          <w:shd w:val="clear" w:color="auto" w:fill="FFFFFF"/>
        </w:rPr>
        <w:t xml:space="preserve">do </w:t>
      </w:r>
      <w:r w:rsidRPr="00A3190D">
        <w:rPr>
          <w:rFonts w:ascii="Arial" w:hAnsi="Arial" w:cs="Arial"/>
          <w:b/>
          <w:bCs/>
          <w:spacing w:val="8"/>
          <w:sz w:val="21"/>
          <w:szCs w:val="21"/>
          <w:shd w:val="clear" w:color="auto" w:fill="FFFFFF"/>
        </w:rPr>
        <w:t>vzdělání? Odpovědi se liší napříč regiony</w:t>
      </w:r>
      <w:r w:rsidR="005E1413">
        <w:rPr>
          <w:rFonts w:ascii="Arial" w:hAnsi="Arial" w:cs="Arial"/>
          <w:b/>
          <w:bCs/>
          <w:spacing w:val="8"/>
          <w:sz w:val="21"/>
          <w:szCs w:val="21"/>
          <w:shd w:val="clear" w:color="auto" w:fill="FFFFFF"/>
        </w:rPr>
        <w:t xml:space="preserve">, a to </w:t>
      </w:r>
      <w:r w:rsidRPr="00A3190D">
        <w:rPr>
          <w:rFonts w:ascii="Arial" w:hAnsi="Arial" w:cs="Arial"/>
          <w:b/>
          <w:bCs/>
          <w:spacing w:val="8"/>
          <w:sz w:val="21"/>
          <w:szCs w:val="21"/>
          <w:shd w:val="clear" w:color="auto" w:fill="FFFFFF"/>
        </w:rPr>
        <w:t xml:space="preserve">mezi obyvateli Čech, Moravy i Prahy. Více než polovina obyvatel ČR </w:t>
      </w:r>
      <w:r w:rsidR="000B5D5E">
        <w:rPr>
          <w:rFonts w:ascii="Arial" w:hAnsi="Arial" w:cs="Arial"/>
          <w:b/>
          <w:bCs/>
          <w:spacing w:val="8"/>
          <w:sz w:val="21"/>
          <w:szCs w:val="21"/>
          <w:shd w:val="clear" w:color="auto" w:fill="FFFFFF"/>
        </w:rPr>
        <w:t xml:space="preserve">letos </w:t>
      </w:r>
      <w:r w:rsidRPr="00A3190D">
        <w:rPr>
          <w:rFonts w:ascii="Arial" w:hAnsi="Arial" w:cs="Arial"/>
          <w:b/>
          <w:bCs/>
          <w:spacing w:val="8"/>
          <w:sz w:val="21"/>
          <w:szCs w:val="21"/>
          <w:shd w:val="clear" w:color="auto" w:fill="FFFFFF"/>
        </w:rPr>
        <w:t xml:space="preserve">plánuje alespoň jeden větší výdaj, nejčastěji do bydlení nebo dovolené. Zároveň však zůstává výrazná skupina domácností, které větší nákupy odkládají. Vyplývá to z aktuálního průzkumu Home Creditu, který </w:t>
      </w:r>
      <w:r w:rsidR="000B5D5E">
        <w:rPr>
          <w:rFonts w:ascii="Arial" w:hAnsi="Arial" w:cs="Arial"/>
          <w:b/>
          <w:bCs/>
          <w:spacing w:val="8"/>
          <w:sz w:val="21"/>
          <w:szCs w:val="21"/>
          <w:shd w:val="clear" w:color="auto" w:fill="FFFFFF"/>
        </w:rPr>
        <w:t>poukazuje</w:t>
      </w:r>
      <w:r w:rsidRPr="00A3190D">
        <w:rPr>
          <w:rFonts w:ascii="Arial" w:hAnsi="Arial" w:cs="Arial"/>
          <w:b/>
          <w:bCs/>
          <w:spacing w:val="8"/>
          <w:sz w:val="21"/>
          <w:szCs w:val="21"/>
          <w:shd w:val="clear" w:color="auto" w:fill="FFFFFF"/>
        </w:rPr>
        <w:t xml:space="preserve"> i</w:t>
      </w:r>
      <w:r w:rsidR="000B5D5E">
        <w:rPr>
          <w:rFonts w:ascii="Arial" w:hAnsi="Arial" w:cs="Arial"/>
          <w:b/>
          <w:bCs/>
          <w:spacing w:val="8"/>
          <w:sz w:val="21"/>
          <w:szCs w:val="21"/>
          <w:shd w:val="clear" w:color="auto" w:fill="FFFFFF"/>
        </w:rPr>
        <w:t xml:space="preserve"> na</w:t>
      </w:r>
      <w:r w:rsidRPr="00A3190D">
        <w:rPr>
          <w:rFonts w:ascii="Arial" w:hAnsi="Arial" w:cs="Arial"/>
          <w:b/>
          <w:bCs/>
          <w:spacing w:val="8"/>
          <w:sz w:val="21"/>
          <w:szCs w:val="21"/>
          <w:shd w:val="clear" w:color="auto" w:fill="FFFFFF"/>
        </w:rPr>
        <w:t xml:space="preserve"> regionální rozdíly.</w:t>
      </w:r>
      <w:r w:rsidRPr="00A3190D">
        <w:rPr>
          <w:rFonts w:ascii="Arial" w:hAnsi="Arial" w:cs="Arial"/>
          <w:b/>
          <w:bCs/>
          <w:strike/>
          <w:spacing w:val="8"/>
          <w:sz w:val="21"/>
          <w:szCs w:val="21"/>
          <w:shd w:val="clear" w:color="auto" w:fill="FFFFFF"/>
        </w:rPr>
        <w:t xml:space="preserve"> </w:t>
      </w:r>
    </w:p>
    <w:p w14:paraId="2358ED86" w14:textId="32886FD6" w:rsidR="000B19B8" w:rsidRPr="005916E5" w:rsidRDefault="000B19B8" w:rsidP="001B7AA7">
      <w:pPr>
        <w:spacing w:line="276" w:lineRule="auto"/>
        <w:rPr>
          <w:rFonts w:ascii="Arial" w:hAnsi="Arial" w:cs="Arial"/>
          <w:spacing w:val="8"/>
          <w:sz w:val="21"/>
          <w:szCs w:val="21"/>
          <w:shd w:val="clear" w:color="auto" w:fill="FFFFFF"/>
        </w:rPr>
      </w:pPr>
      <w:r w:rsidRPr="001B7AA7">
        <w:rPr>
          <w:rFonts w:ascii="Arial" w:hAnsi="Arial" w:cs="Arial"/>
          <w:spacing w:val="8"/>
          <w:sz w:val="21"/>
          <w:szCs w:val="21"/>
          <w:shd w:val="clear" w:color="auto" w:fill="FFFFFF"/>
        </w:rPr>
        <w:t xml:space="preserve">Téměř polovina obyvatel České republiky, konkrétně 49 %, letos žádný větší nákup neplánuje. </w:t>
      </w:r>
      <w:r w:rsidR="00960D95" w:rsidRPr="001B7AA7">
        <w:rPr>
          <w:rFonts w:ascii="Arial" w:hAnsi="Arial" w:cs="Arial"/>
          <w:spacing w:val="8"/>
          <w:sz w:val="21"/>
          <w:szCs w:val="21"/>
          <w:shd w:val="clear" w:color="auto" w:fill="FFFFFF"/>
        </w:rPr>
        <w:t>Zb</w:t>
      </w:r>
      <w:r w:rsidR="00960D95">
        <w:rPr>
          <w:rFonts w:ascii="Arial" w:hAnsi="Arial" w:cs="Arial"/>
          <w:spacing w:val="8"/>
          <w:sz w:val="21"/>
          <w:szCs w:val="21"/>
          <w:shd w:val="clear" w:color="auto" w:fill="FFFFFF"/>
        </w:rPr>
        <w:t>ývajících</w:t>
      </w:r>
      <w:r w:rsidR="00960D95" w:rsidRPr="001B7AA7">
        <w:rPr>
          <w:rFonts w:ascii="Arial" w:hAnsi="Arial" w:cs="Arial"/>
          <w:spacing w:val="8"/>
          <w:sz w:val="21"/>
          <w:szCs w:val="21"/>
          <w:shd w:val="clear" w:color="auto" w:fill="FFFFFF"/>
        </w:rPr>
        <w:t xml:space="preserve"> </w:t>
      </w:r>
      <w:r w:rsidRPr="001B7AA7">
        <w:rPr>
          <w:rFonts w:ascii="Arial" w:hAnsi="Arial" w:cs="Arial"/>
          <w:spacing w:val="8"/>
          <w:sz w:val="21"/>
          <w:szCs w:val="21"/>
          <w:shd w:val="clear" w:color="auto" w:fill="FFFFFF"/>
        </w:rPr>
        <w:t>51 % domácností naopak s vyššími výdaji počítá, nejčastěji v oblasti bydlení</w:t>
      </w:r>
      <w:r w:rsidR="00802685">
        <w:rPr>
          <w:rFonts w:ascii="Arial" w:hAnsi="Arial" w:cs="Arial"/>
          <w:spacing w:val="8"/>
          <w:sz w:val="21"/>
          <w:szCs w:val="21"/>
          <w:shd w:val="clear" w:color="auto" w:fill="FFFFFF"/>
        </w:rPr>
        <w:t>:</w:t>
      </w:r>
      <w:r w:rsidRPr="001B7AA7">
        <w:rPr>
          <w:rFonts w:ascii="Arial" w:hAnsi="Arial" w:cs="Arial"/>
          <w:spacing w:val="8"/>
          <w:sz w:val="21"/>
          <w:szCs w:val="21"/>
          <w:shd w:val="clear" w:color="auto" w:fill="FFFFFF"/>
        </w:rPr>
        <w:t xml:space="preserve"> shodně 14 % plánuje investice do rekonstrukce i do vybavení domácnosti. Za dražší dovolenou chce utrácet 12 % lidí, 9 % uvažuje o koupi auta a 8 % o pořízení elektroniky. Menší část respondentů</w:t>
      </w:r>
      <w:r w:rsidR="00ED6635">
        <w:rPr>
          <w:rFonts w:ascii="Arial" w:hAnsi="Arial" w:cs="Arial"/>
          <w:spacing w:val="8"/>
          <w:sz w:val="21"/>
          <w:szCs w:val="21"/>
          <w:shd w:val="clear" w:color="auto" w:fill="FFFFFF"/>
        </w:rPr>
        <w:t>, tedy 5 %,</w:t>
      </w:r>
      <w:r w:rsidRPr="001B7AA7">
        <w:rPr>
          <w:rFonts w:ascii="Arial" w:hAnsi="Arial" w:cs="Arial"/>
          <w:spacing w:val="8"/>
          <w:sz w:val="21"/>
          <w:szCs w:val="21"/>
          <w:shd w:val="clear" w:color="auto" w:fill="FFFFFF"/>
        </w:rPr>
        <w:t xml:space="preserve"> plánuje investovat do vzdělání a kurzů</w:t>
      </w:r>
      <w:r w:rsidR="00ED6635">
        <w:rPr>
          <w:rFonts w:ascii="Arial" w:hAnsi="Arial" w:cs="Arial"/>
          <w:spacing w:val="8"/>
          <w:sz w:val="21"/>
          <w:szCs w:val="21"/>
          <w:shd w:val="clear" w:color="auto" w:fill="FFFFFF"/>
        </w:rPr>
        <w:t xml:space="preserve"> </w:t>
      </w:r>
      <w:r w:rsidRPr="001B7AA7">
        <w:rPr>
          <w:rFonts w:ascii="Arial" w:hAnsi="Arial" w:cs="Arial"/>
          <w:spacing w:val="8"/>
          <w:sz w:val="21"/>
          <w:szCs w:val="21"/>
          <w:shd w:val="clear" w:color="auto" w:fill="FFFFFF"/>
        </w:rPr>
        <w:t xml:space="preserve">a stejný podíl připadá i na koupi nemovitosti. </w:t>
      </w:r>
    </w:p>
    <w:p w14:paraId="0D851E8C" w14:textId="373730DF" w:rsidR="0094585E" w:rsidRPr="001B7AA7" w:rsidRDefault="0094585E" w:rsidP="001B7AA7">
      <w:pPr>
        <w:spacing w:line="276" w:lineRule="auto"/>
        <w:rPr>
          <w:rFonts w:ascii="Arial" w:eastAsia="Times New Roman" w:hAnsi="Arial" w:cs="Arial"/>
          <w:b/>
          <w:bCs/>
          <w:kern w:val="0"/>
          <w:sz w:val="21"/>
          <w:szCs w:val="21"/>
          <w:lang w:eastAsia="cs-CZ"/>
          <w14:ligatures w14:val="none"/>
        </w:rPr>
      </w:pPr>
      <w:r>
        <w:rPr>
          <w:noProof/>
        </w:rPr>
        <w:drawing>
          <wp:inline distT="0" distB="0" distL="0" distR="0" wp14:anchorId="3D787600" wp14:editId="4D70A9CB">
            <wp:extent cx="6507480" cy="2339340"/>
            <wp:effectExtent l="0" t="0" r="7620" b="3810"/>
            <wp:docPr id="1848447016" name="Graf 1">
              <a:extLst xmlns:a="http://schemas.openxmlformats.org/drawingml/2006/main">
                <a:ext uri="{FF2B5EF4-FFF2-40B4-BE49-F238E27FC236}">
                  <a16:creationId xmlns:a16="http://schemas.microsoft.com/office/drawing/2014/main" id="{C75B647B-9A82-462E-D6F5-69808A11B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9D0606" w14:textId="77777777" w:rsidR="000B19B8" w:rsidRPr="001B7AA7" w:rsidRDefault="000B19B8" w:rsidP="001B7AA7">
      <w:pPr>
        <w:spacing w:line="276" w:lineRule="auto"/>
        <w:rPr>
          <w:rFonts w:ascii="Arial" w:hAnsi="Arial" w:cs="Arial"/>
          <w:b/>
          <w:bCs/>
          <w:spacing w:val="8"/>
          <w:sz w:val="21"/>
          <w:szCs w:val="21"/>
          <w:shd w:val="clear" w:color="auto" w:fill="FFFFFF"/>
        </w:rPr>
      </w:pPr>
      <w:r w:rsidRPr="001B7AA7">
        <w:rPr>
          <w:rFonts w:ascii="Arial" w:hAnsi="Arial" w:cs="Arial"/>
          <w:b/>
          <w:bCs/>
          <w:spacing w:val="8"/>
          <w:sz w:val="21"/>
          <w:szCs w:val="21"/>
          <w:shd w:val="clear" w:color="auto" w:fill="FFFFFF"/>
        </w:rPr>
        <w:t xml:space="preserve">Data získaná v průzkumu Home Creditu ukazují, že struktura výdajů se regionálně liší. </w:t>
      </w:r>
    </w:p>
    <w:p w14:paraId="64675F7C" w14:textId="616AFF23" w:rsidR="000B19B8" w:rsidRPr="001B7AA7" w:rsidRDefault="000B19B8" w:rsidP="001B7AA7">
      <w:pPr>
        <w:spacing w:line="276" w:lineRule="auto"/>
        <w:rPr>
          <w:rFonts w:ascii="Arial" w:eastAsia="Times New Roman" w:hAnsi="Arial" w:cs="Arial"/>
          <w:kern w:val="0"/>
          <w:sz w:val="21"/>
          <w:szCs w:val="21"/>
          <w:lang w:eastAsia="cs-CZ"/>
          <w14:ligatures w14:val="none"/>
        </w:rPr>
      </w:pPr>
      <w:r w:rsidRPr="001B7AA7">
        <w:rPr>
          <w:rFonts w:ascii="Arial" w:eastAsia="Times New Roman" w:hAnsi="Arial" w:cs="Arial"/>
          <w:b/>
          <w:bCs/>
          <w:kern w:val="0"/>
          <w:sz w:val="21"/>
          <w:szCs w:val="21"/>
          <w:lang w:eastAsia="cs-CZ"/>
          <w14:ligatures w14:val="none"/>
        </w:rPr>
        <w:t>V Praze</w:t>
      </w:r>
      <w:r w:rsidRPr="001B7AA7">
        <w:rPr>
          <w:rFonts w:ascii="Arial" w:eastAsia="Times New Roman" w:hAnsi="Arial" w:cs="Arial"/>
          <w:kern w:val="0"/>
          <w:sz w:val="21"/>
          <w:szCs w:val="21"/>
          <w:lang w:eastAsia="cs-CZ"/>
          <w14:ligatures w14:val="none"/>
        </w:rPr>
        <w:t xml:space="preserve"> plánuje alespoň jeden větší nákup 55 % obyvatel, přičemž </w:t>
      </w:r>
      <w:r w:rsidR="00A928A4">
        <w:rPr>
          <w:rFonts w:ascii="Arial" w:eastAsia="Times New Roman" w:hAnsi="Arial" w:cs="Arial"/>
          <w:kern w:val="0"/>
          <w:sz w:val="21"/>
          <w:szCs w:val="21"/>
          <w:lang w:eastAsia="cs-CZ"/>
          <w14:ligatures w14:val="none"/>
        </w:rPr>
        <w:t xml:space="preserve">nejvíce </w:t>
      </w:r>
      <w:r w:rsidRPr="001B7AA7">
        <w:rPr>
          <w:rFonts w:ascii="Arial" w:eastAsia="Times New Roman" w:hAnsi="Arial" w:cs="Arial"/>
          <w:kern w:val="0"/>
          <w:sz w:val="21"/>
          <w:szCs w:val="21"/>
          <w:lang w:eastAsia="cs-CZ"/>
          <w14:ligatures w14:val="none"/>
        </w:rPr>
        <w:t xml:space="preserve">vyčnívají výdaje na dražší dovolenou, </w:t>
      </w:r>
      <w:r w:rsidR="0085288B">
        <w:rPr>
          <w:rFonts w:ascii="Arial" w:eastAsia="Times New Roman" w:hAnsi="Arial" w:cs="Arial"/>
          <w:kern w:val="0"/>
          <w:sz w:val="21"/>
          <w:szCs w:val="21"/>
          <w:lang w:eastAsia="cs-CZ"/>
          <w14:ligatures w14:val="none"/>
        </w:rPr>
        <w:t>o nichž uvažuje</w:t>
      </w:r>
      <w:r w:rsidRPr="001B7AA7">
        <w:rPr>
          <w:rFonts w:ascii="Arial" w:eastAsia="Times New Roman" w:hAnsi="Arial" w:cs="Arial"/>
          <w:kern w:val="0"/>
          <w:sz w:val="21"/>
          <w:szCs w:val="21"/>
          <w:lang w:eastAsia="cs-CZ"/>
          <w14:ligatures w14:val="none"/>
        </w:rPr>
        <w:t xml:space="preserve"> 21 % domácností. Investice do rekonstrukce plánuje 12 % a do vybavení domácnosti 11 %, zatímco menší podíly </w:t>
      </w:r>
      <w:r w:rsidR="0085288B">
        <w:rPr>
          <w:rFonts w:ascii="Arial" w:eastAsia="Times New Roman" w:hAnsi="Arial" w:cs="Arial"/>
          <w:kern w:val="0"/>
          <w:sz w:val="21"/>
          <w:szCs w:val="21"/>
          <w:lang w:eastAsia="cs-CZ"/>
          <w14:ligatures w14:val="none"/>
        </w:rPr>
        <w:t>připadají na</w:t>
      </w:r>
      <w:r w:rsidRPr="001B7AA7">
        <w:rPr>
          <w:rFonts w:ascii="Arial" w:eastAsia="Times New Roman" w:hAnsi="Arial" w:cs="Arial"/>
          <w:kern w:val="0"/>
          <w:sz w:val="21"/>
          <w:szCs w:val="21"/>
          <w:lang w:eastAsia="cs-CZ"/>
          <w14:ligatures w14:val="none"/>
        </w:rPr>
        <w:t xml:space="preserve"> elektronik</w:t>
      </w:r>
      <w:r w:rsidR="0085288B">
        <w:rPr>
          <w:rFonts w:ascii="Arial" w:eastAsia="Times New Roman" w:hAnsi="Arial" w:cs="Arial"/>
          <w:kern w:val="0"/>
          <w:sz w:val="21"/>
          <w:szCs w:val="21"/>
          <w:lang w:eastAsia="cs-CZ"/>
          <w14:ligatures w14:val="none"/>
        </w:rPr>
        <w:t>u</w:t>
      </w:r>
      <w:r w:rsidRPr="001B7AA7">
        <w:rPr>
          <w:rFonts w:ascii="Arial" w:eastAsia="Times New Roman" w:hAnsi="Arial" w:cs="Arial"/>
          <w:kern w:val="0"/>
          <w:sz w:val="21"/>
          <w:szCs w:val="21"/>
          <w:lang w:eastAsia="cs-CZ"/>
          <w14:ligatures w14:val="none"/>
        </w:rPr>
        <w:t>, vzdělání nebo nemovitost</w:t>
      </w:r>
      <w:r w:rsidR="0085288B">
        <w:rPr>
          <w:rFonts w:ascii="Arial" w:eastAsia="Times New Roman" w:hAnsi="Arial" w:cs="Arial"/>
          <w:kern w:val="0"/>
          <w:sz w:val="21"/>
          <w:szCs w:val="21"/>
          <w:lang w:eastAsia="cs-CZ"/>
          <w14:ligatures w14:val="none"/>
        </w:rPr>
        <w:t>i</w:t>
      </w:r>
      <w:r w:rsidRPr="001B7AA7">
        <w:rPr>
          <w:rFonts w:ascii="Arial" w:eastAsia="Times New Roman" w:hAnsi="Arial" w:cs="Arial"/>
          <w:kern w:val="0"/>
          <w:sz w:val="21"/>
          <w:szCs w:val="21"/>
          <w:lang w:eastAsia="cs-CZ"/>
          <w14:ligatures w14:val="none"/>
        </w:rPr>
        <w:t xml:space="preserve">. </w:t>
      </w:r>
    </w:p>
    <w:p w14:paraId="688FF296" w14:textId="71598C42" w:rsidR="008B2127" w:rsidRPr="008B2127" w:rsidRDefault="000B19B8" w:rsidP="008B2127">
      <w:pPr>
        <w:spacing w:line="276" w:lineRule="auto"/>
        <w:rPr>
          <w:rFonts w:ascii="Arial" w:hAnsi="Arial" w:cs="Arial"/>
          <w:sz w:val="21"/>
          <w:szCs w:val="21"/>
        </w:rPr>
      </w:pPr>
      <w:r w:rsidRPr="001B7AA7">
        <w:rPr>
          <w:rFonts w:ascii="Arial" w:hAnsi="Arial" w:cs="Arial"/>
          <w:sz w:val="21"/>
          <w:szCs w:val="21"/>
        </w:rPr>
        <w:t>„</w:t>
      </w:r>
      <w:r w:rsidRPr="005E1413">
        <w:rPr>
          <w:rFonts w:ascii="Arial" w:hAnsi="Arial" w:cs="Arial"/>
          <w:i/>
          <w:iCs/>
          <w:sz w:val="21"/>
          <w:szCs w:val="21"/>
        </w:rPr>
        <w:t>Regionální rozdíly v nákupních plánech jsou poměrně výrazné a dobře odrážejí ekonomickou situaci i životní styl domácností v jednotlivých částech země. Praha se dlouhodobě vyznačuje vyššími příjmy, což se promítá do větší ochoty utrácet</w:t>
      </w:r>
      <w:r w:rsidR="00803758">
        <w:rPr>
          <w:rFonts w:ascii="Arial" w:hAnsi="Arial" w:cs="Arial"/>
          <w:i/>
          <w:iCs/>
          <w:sz w:val="21"/>
          <w:szCs w:val="21"/>
        </w:rPr>
        <w:t>. Patrné je</w:t>
      </w:r>
      <w:r w:rsidRPr="005E1413">
        <w:rPr>
          <w:rFonts w:ascii="Arial" w:hAnsi="Arial" w:cs="Arial"/>
          <w:i/>
          <w:iCs/>
          <w:sz w:val="21"/>
          <w:szCs w:val="21"/>
        </w:rPr>
        <w:t xml:space="preserve"> to zejména u výdajů na dovolené, kde podíl 21 % výrazně </w:t>
      </w:r>
      <w:r w:rsidR="00856C18">
        <w:rPr>
          <w:rFonts w:ascii="Arial" w:hAnsi="Arial" w:cs="Arial"/>
          <w:i/>
          <w:iCs/>
          <w:sz w:val="21"/>
          <w:szCs w:val="21"/>
        </w:rPr>
        <w:t>převyšuje</w:t>
      </w:r>
      <w:r w:rsidRPr="005E1413">
        <w:rPr>
          <w:rFonts w:ascii="Arial" w:hAnsi="Arial" w:cs="Arial"/>
          <w:i/>
          <w:iCs/>
          <w:sz w:val="21"/>
          <w:szCs w:val="21"/>
        </w:rPr>
        <w:t xml:space="preserve"> zbyt</w:t>
      </w:r>
      <w:r w:rsidR="00856C18">
        <w:rPr>
          <w:rFonts w:ascii="Arial" w:hAnsi="Arial" w:cs="Arial"/>
          <w:i/>
          <w:iCs/>
          <w:sz w:val="21"/>
          <w:szCs w:val="21"/>
        </w:rPr>
        <w:t>ek</w:t>
      </w:r>
      <w:r w:rsidRPr="005E1413">
        <w:rPr>
          <w:rFonts w:ascii="Arial" w:hAnsi="Arial" w:cs="Arial"/>
          <w:i/>
          <w:iCs/>
          <w:sz w:val="21"/>
          <w:szCs w:val="21"/>
        </w:rPr>
        <w:t xml:space="preserve"> republiky. Pražané</w:t>
      </w:r>
      <w:r w:rsidR="00856C18">
        <w:rPr>
          <w:rFonts w:ascii="Arial" w:hAnsi="Arial" w:cs="Arial"/>
          <w:i/>
          <w:iCs/>
          <w:sz w:val="21"/>
          <w:szCs w:val="21"/>
        </w:rPr>
        <w:t xml:space="preserve"> jsou zároveň</w:t>
      </w:r>
      <w:r w:rsidRPr="005E1413">
        <w:rPr>
          <w:rFonts w:ascii="Arial" w:hAnsi="Arial" w:cs="Arial"/>
          <w:i/>
          <w:iCs/>
          <w:sz w:val="21"/>
          <w:szCs w:val="21"/>
        </w:rPr>
        <w:t xml:space="preserve"> otevřenější investicím do vzdělání nebo elektroniky, tedy oblastí spojených s</w:t>
      </w:r>
      <w:r w:rsidR="005E1413">
        <w:rPr>
          <w:rFonts w:ascii="Arial" w:hAnsi="Arial" w:cs="Arial"/>
          <w:i/>
          <w:iCs/>
          <w:sz w:val="21"/>
          <w:szCs w:val="21"/>
        </w:rPr>
        <w:t> </w:t>
      </w:r>
      <w:r w:rsidRPr="005E1413">
        <w:rPr>
          <w:rFonts w:ascii="Arial" w:hAnsi="Arial" w:cs="Arial"/>
          <w:i/>
          <w:iCs/>
          <w:sz w:val="21"/>
          <w:szCs w:val="21"/>
        </w:rPr>
        <w:t>osobním rozvojem a kvalitou života</w:t>
      </w:r>
      <w:r w:rsidRPr="001B7AA7">
        <w:rPr>
          <w:rFonts w:ascii="Arial" w:hAnsi="Arial" w:cs="Arial"/>
          <w:sz w:val="21"/>
          <w:szCs w:val="21"/>
        </w:rPr>
        <w:t>,“ říká Jaroslav Ondrušek, hlavní analytik Home Creditu.</w:t>
      </w:r>
    </w:p>
    <w:p w14:paraId="3AAA5D15" w14:textId="16E7D8E2" w:rsidR="000B19B8" w:rsidRDefault="000B19B8" w:rsidP="001B7AA7">
      <w:pPr>
        <w:spacing w:line="276" w:lineRule="auto"/>
        <w:rPr>
          <w:rFonts w:ascii="Arial" w:eastAsia="Times New Roman" w:hAnsi="Arial" w:cs="Arial"/>
          <w:kern w:val="0"/>
          <w:sz w:val="21"/>
          <w:szCs w:val="21"/>
          <w:lang w:eastAsia="cs-CZ"/>
          <w14:ligatures w14:val="none"/>
        </w:rPr>
      </w:pPr>
      <w:r w:rsidRPr="001B7AA7">
        <w:rPr>
          <w:rFonts w:ascii="Arial" w:eastAsia="Times New Roman" w:hAnsi="Arial" w:cs="Arial"/>
          <w:b/>
          <w:bCs/>
          <w:kern w:val="0"/>
          <w:sz w:val="21"/>
          <w:szCs w:val="21"/>
          <w:lang w:eastAsia="cs-CZ"/>
          <w14:ligatures w14:val="none"/>
        </w:rPr>
        <w:t>Na Moravě</w:t>
      </w:r>
      <w:r w:rsidRPr="001B7AA7">
        <w:rPr>
          <w:rFonts w:ascii="Arial" w:eastAsia="Times New Roman" w:hAnsi="Arial" w:cs="Arial"/>
          <w:kern w:val="0"/>
          <w:sz w:val="21"/>
          <w:szCs w:val="21"/>
          <w:lang w:eastAsia="cs-CZ"/>
          <w14:ligatures w14:val="none"/>
        </w:rPr>
        <w:t xml:space="preserve"> je situace zdrženlivější</w:t>
      </w:r>
      <w:r w:rsidR="005756AF">
        <w:rPr>
          <w:rFonts w:ascii="Arial" w:eastAsia="Times New Roman" w:hAnsi="Arial" w:cs="Arial"/>
          <w:kern w:val="0"/>
          <w:sz w:val="21"/>
          <w:szCs w:val="21"/>
          <w:lang w:eastAsia="cs-CZ"/>
          <w14:ligatures w14:val="none"/>
        </w:rPr>
        <w:t>.</w:t>
      </w:r>
      <w:r w:rsidRPr="001B7AA7">
        <w:rPr>
          <w:rFonts w:ascii="Arial" w:eastAsia="Times New Roman" w:hAnsi="Arial" w:cs="Arial"/>
          <w:kern w:val="0"/>
          <w:sz w:val="21"/>
          <w:szCs w:val="21"/>
          <w:lang w:eastAsia="cs-CZ"/>
          <w14:ligatures w14:val="none"/>
        </w:rPr>
        <w:t xml:space="preserve"> </w:t>
      </w:r>
      <w:r w:rsidR="005756AF">
        <w:rPr>
          <w:rFonts w:ascii="Arial" w:eastAsia="Times New Roman" w:hAnsi="Arial" w:cs="Arial"/>
          <w:kern w:val="0"/>
          <w:sz w:val="21"/>
          <w:szCs w:val="21"/>
          <w:lang w:eastAsia="cs-CZ"/>
          <w14:ligatures w14:val="none"/>
        </w:rPr>
        <w:t>V</w:t>
      </w:r>
      <w:r w:rsidRPr="001B7AA7">
        <w:rPr>
          <w:rFonts w:ascii="Arial" w:eastAsia="Times New Roman" w:hAnsi="Arial" w:cs="Arial"/>
          <w:kern w:val="0"/>
          <w:sz w:val="21"/>
          <w:szCs w:val="21"/>
          <w:lang w:eastAsia="cs-CZ"/>
          <w14:ligatures w14:val="none"/>
        </w:rPr>
        <w:t>ětší výdaje neplánuje 54 % lidí</w:t>
      </w:r>
      <w:r w:rsidR="0058582E">
        <w:rPr>
          <w:rFonts w:ascii="Arial" w:eastAsia="Times New Roman" w:hAnsi="Arial" w:cs="Arial"/>
          <w:kern w:val="0"/>
          <w:sz w:val="21"/>
          <w:szCs w:val="21"/>
          <w:lang w:eastAsia="cs-CZ"/>
          <w14:ligatures w14:val="none"/>
        </w:rPr>
        <w:t xml:space="preserve">, </w:t>
      </w:r>
      <w:r w:rsidRPr="001B7AA7">
        <w:rPr>
          <w:rFonts w:ascii="Arial" w:eastAsia="Times New Roman" w:hAnsi="Arial" w:cs="Arial"/>
          <w:kern w:val="0"/>
          <w:sz w:val="21"/>
          <w:szCs w:val="21"/>
          <w:lang w:eastAsia="cs-CZ"/>
          <w14:ligatures w14:val="none"/>
        </w:rPr>
        <w:t xml:space="preserve">alespoň jeden nákup zvažuje 46 % domácností. Pokud se </w:t>
      </w:r>
      <w:r w:rsidR="0058582E">
        <w:rPr>
          <w:rFonts w:ascii="Arial" w:eastAsia="Times New Roman" w:hAnsi="Arial" w:cs="Arial"/>
          <w:kern w:val="0"/>
          <w:sz w:val="21"/>
          <w:szCs w:val="21"/>
          <w:lang w:eastAsia="cs-CZ"/>
          <w14:ligatures w14:val="none"/>
        </w:rPr>
        <w:t xml:space="preserve">však </w:t>
      </w:r>
      <w:r w:rsidR="00170CF0">
        <w:rPr>
          <w:rFonts w:ascii="Arial" w:eastAsia="Times New Roman" w:hAnsi="Arial" w:cs="Arial"/>
          <w:kern w:val="0"/>
          <w:sz w:val="21"/>
          <w:szCs w:val="21"/>
          <w:lang w:eastAsia="cs-CZ"/>
          <w14:ligatures w14:val="none"/>
        </w:rPr>
        <w:t>k</w:t>
      </w:r>
      <w:r w:rsidRPr="001B7AA7">
        <w:rPr>
          <w:rFonts w:ascii="Arial" w:eastAsia="Times New Roman" w:hAnsi="Arial" w:cs="Arial"/>
          <w:kern w:val="0"/>
          <w:sz w:val="21"/>
          <w:szCs w:val="21"/>
          <w:lang w:eastAsia="cs-CZ"/>
          <w14:ligatures w14:val="none"/>
        </w:rPr>
        <w:t xml:space="preserve"> ně</w:t>
      </w:r>
      <w:r w:rsidR="00170CF0">
        <w:rPr>
          <w:rFonts w:ascii="Arial" w:eastAsia="Times New Roman" w:hAnsi="Arial" w:cs="Arial"/>
          <w:kern w:val="0"/>
          <w:sz w:val="21"/>
          <w:szCs w:val="21"/>
          <w:lang w:eastAsia="cs-CZ"/>
          <w14:ligatures w14:val="none"/>
        </w:rPr>
        <w:t>mu</w:t>
      </w:r>
      <w:r w:rsidRPr="001B7AA7">
        <w:rPr>
          <w:rFonts w:ascii="Arial" w:eastAsia="Times New Roman" w:hAnsi="Arial" w:cs="Arial"/>
          <w:kern w:val="0"/>
          <w:sz w:val="21"/>
          <w:szCs w:val="21"/>
          <w:lang w:eastAsia="cs-CZ"/>
          <w14:ligatures w14:val="none"/>
        </w:rPr>
        <w:t xml:space="preserve"> </w:t>
      </w:r>
      <w:r w:rsidR="00170CF0">
        <w:rPr>
          <w:rFonts w:ascii="Arial" w:eastAsia="Times New Roman" w:hAnsi="Arial" w:cs="Arial"/>
          <w:kern w:val="0"/>
          <w:sz w:val="21"/>
          <w:szCs w:val="21"/>
          <w:lang w:eastAsia="cs-CZ"/>
          <w14:ligatures w14:val="none"/>
        </w:rPr>
        <w:t>odhodlají</w:t>
      </w:r>
      <w:r w:rsidRPr="001B7AA7">
        <w:rPr>
          <w:rFonts w:ascii="Arial" w:eastAsia="Times New Roman" w:hAnsi="Arial" w:cs="Arial"/>
          <w:kern w:val="0"/>
          <w:sz w:val="21"/>
          <w:szCs w:val="21"/>
          <w:lang w:eastAsia="cs-CZ"/>
          <w14:ligatures w14:val="none"/>
        </w:rPr>
        <w:t>, častěji</w:t>
      </w:r>
      <w:r w:rsidR="00170CF0">
        <w:rPr>
          <w:rFonts w:ascii="Arial" w:eastAsia="Times New Roman" w:hAnsi="Arial" w:cs="Arial"/>
          <w:kern w:val="0"/>
          <w:sz w:val="21"/>
          <w:szCs w:val="21"/>
          <w:lang w:eastAsia="cs-CZ"/>
          <w14:ligatures w14:val="none"/>
        </w:rPr>
        <w:t xml:space="preserve"> sáhnou po</w:t>
      </w:r>
      <w:r w:rsidRPr="001B7AA7">
        <w:rPr>
          <w:rFonts w:ascii="Arial" w:eastAsia="Times New Roman" w:hAnsi="Arial" w:cs="Arial"/>
          <w:kern w:val="0"/>
          <w:sz w:val="21"/>
          <w:szCs w:val="21"/>
          <w:lang w:eastAsia="cs-CZ"/>
          <w14:ligatures w14:val="none"/>
        </w:rPr>
        <w:t xml:space="preserve"> praktičtější</w:t>
      </w:r>
      <w:r w:rsidR="00170CF0">
        <w:rPr>
          <w:rFonts w:ascii="Arial" w:eastAsia="Times New Roman" w:hAnsi="Arial" w:cs="Arial"/>
          <w:kern w:val="0"/>
          <w:sz w:val="21"/>
          <w:szCs w:val="21"/>
          <w:lang w:eastAsia="cs-CZ"/>
          <w14:ligatures w14:val="none"/>
        </w:rPr>
        <w:t>ch</w:t>
      </w:r>
      <w:r w:rsidRPr="001B7AA7">
        <w:rPr>
          <w:rFonts w:ascii="Arial" w:eastAsia="Times New Roman" w:hAnsi="Arial" w:cs="Arial"/>
          <w:kern w:val="0"/>
          <w:sz w:val="21"/>
          <w:szCs w:val="21"/>
          <w:lang w:eastAsia="cs-CZ"/>
          <w14:ligatures w14:val="none"/>
        </w:rPr>
        <w:t xml:space="preserve"> položk</w:t>
      </w:r>
      <w:r w:rsidR="00170CF0">
        <w:rPr>
          <w:rFonts w:ascii="Arial" w:eastAsia="Times New Roman" w:hAnsi="Arial" w:cs="Arial"/>
          <w:kern w:val="0"/>
          <w:sz w:val="21"/>
          <w:szCs w:val="21"/>
          <w:lang w:eastAsia="cs-CZ"/>
          <w14:ligatures w14:val="none"/>
        </w:rPr>
        <w:t>ách</w:t>
      </w:r>
      <w:r w:rsidRPr="001B7AA7">
        <w:rPr>
          <w:rFonts w:ascii="Arial" w:eastAsia="Times New Roman" w:hAnsi="Arial" w:cs="Arial"/>
          <w:kern w:val="0"/>
          <w:sz w:val="21"/>
          <w:szCs w:val="21"/>
          <w:lang w:eastAsia="cs-CZ"/>
          <w14:ligatures w14:val="none"/>
        </w:rPr>
        <w:t xml:space="preserve">, jako je bydlení nebo auto, jehož pořízení </w:t>
      </w:r>
      <w:r w:rsidR="00C11EB7">
        <w:rPr>
          <w:rFonts w:ascii="Arial" w:eastAsia="Times New Roman" w:hAnsi="Arial" w:cs="Arial"/>
          <w:kern w:val="0"/>
          <w:sz w:val="21"/>
          <w:szCs w:val="21"/>
          <w:lang w:eastAsia="cs-CZ"/>
          <w14:ligatures w14:val="none"/>
        </w:rPr>
        <w:t>zvažuje</w:t>
      </w:r>
      <w:r w:rsidR="00C11EB7" w:rsidRPr="001B7AA7">
        <w:rPr>
          <w:rFonts w:ascii="Arial" w:eastAsia="Times New Roman" w:hAnsi="Arial" w:cs="Arial"/>
          <w:kern w:val="0"/>
          <w:sz w:val="21"/>
          <w:szCs w:val="21"/>
          <w:lang w:eastAsia="cs-CZ"/>
          <w14:ligatures w14:val="none"/>
        </w:rPr>
        <w:t xml:space="preserve"> </w:t>
      </w:r>
      <w:r w:rsidRPr="001B7AA7">
        <w:rPr>
          <w:rFonts w:ascii="Arial" w:eastAsia="Times New Roman" w:hAnsi="Arial" w:cs="Arial"/>
          <w:kern w:val="0"/>
          <w:sz w:val="21"/>
          <w:szCs w:val="21"/>
          <w:lang w:eastAsia="cs-CZ"/>
          <w14:ligatures w14:val="none"/>
        </w:rPr>
        <w:t xml:space="preserve">9 % </w:t>
      </w:r>
      <w:r w:rsidR="0058582E">
        <w:rPr>
          <w:rFonts w:ascii="Arial" w:eastAsia="Times New Roman" w:hAnsi="Arial" w:cs="Arial"/>
          <w:kern w:val="0"/>
          <w:sz w:val="21"/>
          <w:szCs w:val="21"/>
          <w:lang w:eastAsia="cs-CZ"/>
          <w14:ligatures w14:val="none"/>
        </w:rPr>
        <w:t xml:space="preserve">respondentů. </w:t>
      </w:r>
      <w:r w:rsidRPr="001B7AA7">
        <w:rPr>
          <w:rFonts w:ascii="Arial" w:hAnsi="Arial" w:cs="Arial"/>
          <w:sz w:val="21"/>
          <w:szCs w:val="21"/>
        </w:rPr>
        <w:t>Vyšší podíl plánovaných nákupů aut může souviset s větší závislostí na individuální dopravě mimo velká města</w:t>
      </w:r>
      <w:r w:rsidR="001A6EDF">
        <w:rPr>
          <w:rFonts w:ascii="Arial" w:hAnsi="Arial" w:cs="Arial"/>
          <w:sz w:val="21"/>
          <w:szCs w:val="21"/>
        </w:rPr>
        <w:t xml:space="preserve">. </w:t>
      </w:r>
      <w:r w:rsidR="001A6EDF" w:rsidRPr="001B7AA7">
        <w:rPr>
          <w:rFonts w:ascii="Arial" w:hAnsi="Arial" w:cs="Arial"/>
          <w:sz w:val="21"/>
          <w:szCs w:val="21"/>
        </w:rPr>
        <w:t xml:space="preserve">I mezi obyvateli Moravy jsou rozdíly. </w:t>
      </w:r>
      <w:r w:rsidR="00C11EB7">
        <w:rPr>
          <w:rFonts w:ascii="Arial" w:hAnsi="Arial" w:cs="Arial"/>
          <w:sz w:val="21"/>
          <w:szCs w:val="21"/>
        </w:rPr>
        <w:t xml:space="preserve">K </w:t>
      </w:r>
      <w:r w:rsidR="00C11EB7">
        <w:rPr>
          <w:rFonts w:ascii="Arial" w:eastAsia="Times New Roman" w:hAnsi="Arial" w:cs="Arial"/>
          <w:kern w:val="0"/>
          <w:sz w:val="21"/>
          <w:szCs w:val="21"/>
          <w:lang w:eastAsia="cs-CZ"/>
          <w14:ligatures w14:val="none"/>
        </w:rPr>
        <w:t>i</w:t>
      </w:r>
      <w:r w:rsidRPr="001B7AA7">
        <w:rPr>
          <w:rFonts w:ascii="Arial" w:eastAsia="Times New Roman" w:hAnsi="Arial" w:cs="Arial"/>
          <w:kern w:val="0"/>
          <w:sz w:val="21"/>
          <w:szCs w:val="21"/>
          <w:lang w:eastAsia="cs-CZ"/>
          <w14:ligatures w14:val="none"/>
        </w:rPr>
        <w:t>nvestic</w:t>
      </w:r>
      <w:r w:rsidR="00C11EB7">
        <w:rPr>
          <w:rFonts w:ascii="Arial" w:eastAsia="Times New Roman" w:hAnsi="Arial" w:cs="Arial"/>
          <w:kern w:val="0"/>
          <w:sz w:val="21"/>
          <w:szCs w:val="21"/>
          <w:lang w:eastAsia="cs-CZ"/>
          <w14:ligatures w14:val="none"/>
        </w:rPr>
        <w:t>ím</w:t>
      </w:r>
      <w:r w:rsidRPr="001B7AA7">
        <w:rPr>
          <w:rFonts w:ascii="Arial" w:eastAsia="Times New Roman" w:hAnsi="Arial" w:cs="Arial"/>
          <w:kern w:val="0"/>
          <w:sz w:val="21"/>
          <w:szCs w:val="21"/>
          <w:lang w:eastAsia="cs-CZ"/>
          <w14:ligatures w14:val="none"/>
        </w:rPr>
        <w:t xml:space="preserve"> </w:t>
      </w:r>
      <w:r w:rsidR="00C11EB7" w:rsidRPr="00960F8E">
        <w:rPr>
          <w:rFonts w:ascii="Arial" w:hAnsi="Arial" w:cs="Arial"/>
          <w:sz w:val="21"/>
          <w:szCs w:val="21"/>
        </w:rPr>
        <w:t>se častěji přiklánějí</w:t>
      </w:r>
      <w:r w:rsidRPr="001B7AA7">
        <w:rPr>
          <w:rFonts w:ascii="Arial" w:eastAsia="Times New Roman" w:hAnsi="Arial" w:cs="Arial"/>
          <w:kern w:val="0"/>
          <w:sz w:val="21"/>
          <w:szCs w:val="21"/>
          <w:lang w:eastAsia="cs-CZ"/>
          <w14:ligatures w14:val="none"/>
        </w:rPr>
        <w:t xml:space="preserve"> dvoučlenné domácnosti a lidé ve věku 54 až 65 let. </w:t>
      </w:r>
    </w:p>
    <w:p w14:paraId="152DD67B" w14:textId="5367A1CB" w:rsidR="000B19B8" w:rsidRPr="001B7AA7" w:rsidRDefault="000B19B8" w:rsidP="001B7AA7">
      <w:pPr>
        <w:spacing w:line="276" w:lineRule="auto"/>
        <w:rPr>
          <w:rFonts w:ascii="Arial" w:hAnsi="Arial" w:cs="Arial"/>
          <w:sz w:val="21"/>
          <w:szCs w:val="21"/>
        </w:rPr>
      </w:pPr>
      <w:r w:rsidRPr="001B7AA7">
        <w:rPr>
          <w:rFonts w:ascii="Arial" w:eastAsia="Times New Roman" w:hAnsi="Arial" w:cs="Arial"/>
          <w:b/>
          <w:bCs/>
          <w:kern w:val="0"/>
          <w:sz w:val="21"/>
          <w:szCs w:val="21"/>
          <w:lang w:eastAsia="cs-CZ"/>
          <w14:ligatures w14:val="none"/>
        </w:rPr>
        <w:t>Čechy bez zahrnutí Prahy</w:t>
      </w:r>
      <w:r w:rsidRPr="001B7AA7">
        <w:rPr>
          <w:rFonts w:ascii="Arial" w:eastAsia="Times New Roman" w:hAnsi="Arial" w:cs="Arial"/>
          <w:kern w:val="0"/>
          <w:sz w:val="21"/>
          <w:szCs w:val="21"/>
          <w:lang w:eastAsia="cs-CZ"/>
          <w14:ligatures w14:val="none"/>
        </w:rPr>
        <w:t xml:space="preserve"> se pohybují mezi těmito dvěma póly</w:t>
      </w:r>
      <w:r w:rsidR="00C57276">
        <w:rPr>
          <w:rFonts w:ascii="Arial" w:eastAsia="Times New Roman" w:hAnsi="Arial" w:cs="Arial"/>
          <w:kern w:val="0"/>
          <w:sz w:val="21"/>
          <w:szCs w:val="21"/>
          <w:lang w:eastAsia="cs-CZ"/>
          <w14:ligatures w14:val="none"/>
        </w:rPr>
        <w:t>.</w:t>
      </w:r>
      <w:r w:rsidRPr="001B7AA7">
        <w:rPr>
          <w:rFonts w:ascii="Arial" w:eastAsia="Times New Roman" w:hAnsi="Arial" w:cs="Arial"/>
          <w:kern w:val="0"/>
          <w:sz w:val="21"/>
          <w:szCs w:val="21"/>
          <w:lang w:eastAsia="cs-CZ"/>
          <w14:ligatures w14:val="none"/>
        </w:rPr>
        <w:t xml:space="preserve"> </w:t>
      </w:r>
      <w:r w:rsidR="00C57276">
        <w:rPr>
          <w:rFonts w:ascii="Arial" w:eastAsia="Times New Roman" w:hAnsi="Arial" w:cs="Arial"/>
          <w:kern w:val="0"/>
          <w:sz w:val="21"/>
          <w:szCs w:val="21"/>
          <w:lang w:eastAsia="cs-CZ"/>
          <w14:ligatures w14:val="none"/>
        </w:rPr>
        <w:t>V</w:t>
      </w:r>
      <w:r w:rsidRPr="001B7AA7">
        <w:rPr>
          <w:rFonts w:ascii="Arial" w:eastAsia="Times New Roman" w:hAnsi="Arial" w:cs="Arial"/>
          <w:kern w:val="0"/>
          <w:sz w:val="21"/>
          <w:szCs w:val="21"/>
          <w:lang w:eastAsia="cs-CZ"/>
          <w14:ligatures w14:val="none"/>
        </w:rPr>
        <w:t>ětší nákup plánuje 53 % domácností a silný je zde důraz na bydlení</w:t>
      </w:r>
      <w:r w:rsidR="00111E28">
        <w:rPr>
          <w:rFonts w:ascii="Arial" w:eastAsia="Times New Roman" w:hAnsi="Arial" w:cs="Arial"/>
          <w:kern w:val="0"/>
          <w:sz w:val="21"/>
          <w:szCs w:val="21"/>
          <w:lang w:eastAsia="cs-CZ"/>
          <w14:ligatures w14:val="none"/>
        </w:rPr>
        <w:t>:</w:t>
      </w:r>
      <w:r w:rsidRPr="001B7AA7">
        <w:rPr>
          <w:rFonts w:ascii="Arial" w:eastAsia="Times New Roman" w:hAnsi="Arial" w:cs="Arial"/>
          <w:kern w:val="0"/>
          <w:sz w:val="21"/>
          <w:szCs w:val="21"/>
          <w:lang w:eastAsia="cs-CZ"/>
          <w14:ligatures w14:val="none"/>
        </w:rPr>
        <w:t xml:space="preserve"> rekonstrukci i vybavení zvažuje shodně 16 % lidí. </w:t>
      </w:r>
      <w:r w:rsidRPr="001B7AA7">
        <w:rPr>
          <w:rFonts w:ascii="Arial" w:hAnsi="Arial" w:cs="Arial"/>
          <w:sz w:val="21"/>
          <w:szCs w:val="21"/>
        </w:rPr>
        <w:t xml:space="preserve">To naznačuje, že domácnosti více řeší </w:t>
      </w:r>
      <w:r w:rsidRPr="001B7AA7">
        <w:rPr>
          <w:rFonts w:ascii="Arial" w:hAnsi="Arial" w:cs="Arial"/>
          <w:sz w:val="21"/>
          <w:szCs w:val="21"/>
        </w:rPr>
        <w:lastRenderedPageBreak/>
        <w:t>zázemí a dlouhodobou hodnotu, zatímco výdaje za zážitky jsou umírněnější</w:t>
      </w:r>
      <w:r w:rsidR="00111E28">
        <w:rPr>
          <w:rFonts w:ascii="Arial" w:hAnsi="Arial" w:cs="Arial"/>
          <w:sz w:val="21"/>
          <w:szCs w:val="21"/>
        </w:rPr>
        <w:t xml:space="preserve">. </w:t>
      </w:r>
      <w:r w:rsidRPr="001B7AA7">
        <w:rPr>
          <w:rFonts w:ascii="Arial" w:eastAsia="Times New Roman" w:hAnsi="Arial" w:cs="Arial"/>
          <w:kern w:val="0"/>
          <w:sz w:val="21"/>
          <w:szCs w:val="21"/>
          <w:lang w:eastAsia="cs-CZ"/>
          <w14:ligatures w14:val="none"/>
        </w:rPr>
        <w:t xml:space="preserve">Vyšší je také podíl těch, kteří </w:t>
      </w:r>
      <w:r w:rsidR="00C976CF">
        <w:rPr>
          <w:rFonts w:ascii="Arial" w:eastAsia="Times New Roman" w:hAnsi="Arial" w:cs="Arial"/>
          <w:kern w:val="0"/>
          <w:sz w:val="21"/>
          <w:szCs w:val="21"/>
          <w:lang w:eastAsia="cs-CZ"/>
          <w14:ligatures w14:val="none"/>
        </w:rPr>
        <w:t>zvažují</w:t>
      </w:r>
      <w:r w:rsidR="00C976CF" w:rsidRPr="001B7AA7">
        <w:rPr>
          <w:rFonts w:ascii="Arial" w:eastAsia="Times New Roman" w:hAnsi="Arial" w:cs="Arial"/>
          <w:kern w:val="0"/>
          <w:sz w:val="21"/>
          <w:szCs w:val="21"/>
          <w:lang w:eastAsia="cs-CZ"/>
          <w14:ligatures w14:val="none"/>
        </w:rPr>
        <w:t xml:space="preserve"> </w:t>
      </w:r>
      <w:r w:rsidRPr="001B7AA7">
        <w:rPr>
          <w:rFonts w:ascii="Arial" w:eastAsia="Times New Roman" w:hAnsi="Arial" w:cs="Arial"/>
          <w:kern w:val="0"/>
          <w:sz w:val="21"/>
          <w:szCs w:val="21"/>
          <w:lang w:eastAsia="cs-CZ"/>
          <w14:ligatures w14:val="none"/>
        </w:rPr>
        <w:t>koupi auta, a to 10 %. Starší lidé ve věku 54 až 65 let častěji žádné investice neplánují, podobně jako domácnosti se středními příjmy, zatímco vysokoškoláci patří mezi skupiny s vyšší ochotou utrácet.</w:t>
      </w:r>
    </w:p>
    <w:p w14:paraId="56FC0E7B" w14:textId="470A0A84" w:rsidR="00C57276" w:rsidRPr="001B7AA7" w:rsidRDefault="000B19B8" w:rsidP="001B7AA7">
      <w:pPr>
        <w:spacing w:line="276" w:lineRule="auto"/>
        <w:rPr>
          <w:rFonts w:ascii="Arial" w:hAnsi="Arial" w:cs="Arial"/>
          <w:sz w:val="21"/>
          <w:szCs w:val="21"/>
        </w:rPr>
      </w:pPr>
      <w:r w:rsidRPr="001B7AA7">
        <w:rPr>
          <w:rFonts w:ascii="Arial" w:hAnsi="Arial" w:cs="Arial"/>
          <w:sz w:val="21"/>
          <w:szCs w:val="21"/>
        </w:rPr>
        <w:t>„</w:t>
      </w:r>
      <w:r w:rsidRPr="005E1413">
        <w:rPr>
          <w:rFonts w:ascii="Arial" w:hAnsi="Arial" w:cs="Arial"/>
          <w:i/>
          <w:iCs/>
          <w:sz w:val="21"/>
          <w:szCs w:val="21"/>
        </w:rPr>
        <w:t>Celkově platí, že ochota utrácet roste s ekonomickou jistotou. Regiony s vyššími příjmy a nižší mírou nejistoty se více orientují na spotřebu a zážitky, zatímco v ostatních částech republiky domácnosti více zvažují návratnost výdajů a dávají přednost praktickým investicím</w:t>
      </w:r>
      <w:r w:rsidRPr="001B7AA7">
        <w:rPr>
          <w:rFonts w:ascii="Arial" w:hAnsi="Arial" w:cs="Arial"/>
          <w:sz w:val="21"/>
          <w:szCs w:val="21"/>
        </w:rPr>
        <w:t>,“ uzavírá Jaroslav Ondrušek.</w:t>
      </w:r>
    </w:p>
    <w:p w14:paraId="0F9A2B9F" w14:textId="77777777" w:rsidR="000B19B8" w:rsidRPr="001B7AA7" w:rsidRDefault="000B19B8" w:rsidP="001B7AA7">
      <w:pPr>
        <w:spacing w:line="276" w:lineRule="auto"/>
        <w:rPr>
          <w:rFonts w:ascii="Arial" w:hAnsi="Arial" w:cs="Arial"/>
          <w:b/>
          <w:bCs/>
          <w:sz w:val="21"/>
          <w:szCs w:val="21"/>
        </w:rPr>
      </w:pPr>
      <w:r w:rsidRPr="001B7AA7">
        <w:rPr>
          <w:rFonts w:ascii="Arial" w:hAnsi="Arial" w:cs="Arial"/>
          <w:b/>
          <w:bCs/>
          <w:sz w:val="21"/>
          <w:szCs w:val="21"/>
        </w:rPr>
        <w:t>Zdroje financování plánovaných výdajů</w:t>
      </w:r>
    </w:p>
    <w:p w14:paraId="0D32212D" w14:textId="008A789E" w:rsidR="000B19B8" w:rsidRDefault="000B19B8" w:rsidP="005916E5">
      <w:pPr>
        <w:spacing w:after="0" w:line="276" w:lineRule="auto"/>
        <w:rPr>
          <w:rFonts w:ascii="Arial" w:hAnsi="Arial" w:cs="Arial"/>
          <w:sz w:val="21"/>
          <w:szCs w:val="21"/>
        </w:rPr>
      </w:pPr>
      <w:r w:rsidRPr="001B7AA7">
        <w:rPr>
          <w:rFonts w:ascii="Arial" w:hAnsi="Arial" w:cs="Arial"/>
          <w:sz w:val="21"/>
          <w:szCs w:val="21"/>
        </w:rPr>
        <w:t>Bez ohledu na region platí, že většina domácností chce své výdaje financovat z vlastních zdrojů. Úspory plánuje využít 54 % lidí, dalších 22 % si vystačí s běžným příjmem. Pouze 5 % respondentů uvažuje o financování prostřednictvím úvěru či půjčky.</w:t>
      </w:r>
    </w:p>
    <w:p w14:paraId="176465B9" w14:textId="77777777" w:rsidR="005916E5" w:rsidRPr="001B7AA7" w:rsidRDefault="005916E5" w:rsidP="005916E5">
      <w:pPr>
        <w:spacing w:after="0" w:line="276" w:lineRule="auto"/>
        <w:rPr>
          <w:rFonts w:ascii="Arial" w:hAnsi="Arial" w:cs="Arial"/>
          <w:sz w:val="21"/>
          <w:szCs w:val="21"/>
        </w:rPr>
      </w:pPr>
    </w:p>
    <w:p w14:paraId="52E09922" w14:textId="669165C5" w:rsidR="000B19B8" w:rsidRDefault="000B19B8" w:rsidP="005916E5">
      <w:pPr>
        <w:spacing w:after="0" w:line="276" w:lineRule="auto"/>
        <w:rPr>
          <w:rFonts w:ascii="Arial" w:hAnsi="Arial" w:cs="Arial"/>
          <w:sz w:val="21"/>
          <w:szCs w:val="21"/>
        </w:rPr>
      </w:pPr>
      <w:r w:rsidRPr="001B7AA7">
        <w:rPr>
          <w:rFonts w:ascii="Arial" w:hAnsi="Arial" w:cs="Arial"/>
          <w:sz w:val="21"/>
          <w:szCs w:val="21"/>
        </w:rPr>
        <w:t>Nejčastěji sahají do úspor lidé ve věku 54–65 let</w:t>
      </w:r>
      <w:r w:rsidR="000A6ABF">
        <w:rPr>
          <w:rFonts w:ascii="Arial" w:hAnsi="Arial" w:cs="Arial"/>
          <w:sz w:val="21"/>
          <w:szCs w:val="21"/>
        </w:rPr>
        <w:t xml:space="preserve">, a to </w:t>
      </w:r>
      <w:r w:rsidRPr="001B7AA7">
        <w:rPr>
          <w:rFonts w:ascii="Arial" w:hAnsi="Arial" w:cs="Arial"/>
          <w:sz w:val="21"/>
          <w:szCs w:val="21"/>
        </w:rPr>
        <w:t>68 %. Regionální rozdíly jsou v tomto ohledu minimální</w:t>
      </w:r>
      <w:r w:rsidR="00CE1061">
        <w:rPr>
          <w:rFonts w:ascii="Arial" w:hAnsi="Arial" w:cs="Arial"/>
          <w:sz w:val="21"/>
          <w:szCs w:val="21"/>
        </w:rPr>
        <w:t>.</w:t>
      </w:r>
      <w:r w:rsidRPr="001B7AA7">
        <w:rPr>
          <w:rFonts w:ascii="Arial" w:hAnsi="Arial" w:cs="Arial"/>
          <w:sz w:val="21"/>
          <w:szCs w:val="21"/>
        </w:rPr>
        <w:t xml:space="preserve"> </w:t>
      </w:r>
      <w:r w:rsidR="00CE1061">
        <w:rPr>
          <w:rFonts w:ascii="Arial" w:hAnsi="Arial" w:cs="Arial"/>
          <w:sz w:val="21"/>
          <w:szCs w:val="21"/>
        </w:rPr>
        <w:t>V</w:t>
      </w:r>
      <w:r w:rsidR="005E1413">
        <w:rPr>
          <w:rFonts w:ascii="Arial" w:hAnsi="Arial" w:cs="Arial"/>
          <w:sz w:val="21"/>
          <w:szCs w:val="21"/>
        </w:rPr>
        <w:t> </w:t>
      </w:r>
      <w:r w:rsidRPr="001B7AA7">
        <w:rPr>
          <w:rFonts w:ascii="Arial" w:hAnsi="Arial" w:cs="Arial"/>
          <w:sz w:val="21"/>
          <w:szCs w:val="21"/>
        </w:rPr>
        <w:t>Praze využije úspory 61 % domácností, v Čechách 52 % a na Moravě 54 %.</w:t>
      </w:r>
    </w:p>
    <w:p w14:paraId="7A06D0CC" w14:textId="77777777" w:rsidR="005916E5" w:rsidRPr="001B7AA7" w:rsidRDefault="005916E5" w:rsidP="005916E5">
      <w:pPr>
        <w:spacing w:after="0" w:line="276" w:lineRule="auto"/>
        <w:rPr>
          <w:rFonts w:ascii="Arial" w:hAnsi="Arial" w:cs="Arial"/>
          <w:sz w:val="21"/>
          <w:szCs w:val="21"/>
        </w:rPr>
      </w:pPr>
    </w:p>
    <w:tbl>
      <w:tblPr>
        <w:tblStyle w:val="Mkatabulky"/>
        <w:tblW w:w="9060" w:type="dxa"/>
        <w:tblLook w:val="04A0" w:firstRow="1" w:lastRow="0" w:firstColumn="1" w:lastColumn="0" w:noHBand="0" w:noVBand="1"/>
      </w:tblPr>
      <w:tblGrid>
        <w:gridCol w:w="1812"/>
        <w:gridCol w:w="1812"/>
        <w:gridCol w:w="1812"/>
        <w:gridCol w:w="1812"/>
        <w:gridCol w:w="1812"/>
      </w:tblGrid>
      <w:tr w:rsidR="000B19B8" w:rsidRPr="001B7AA7" w14:paraId="40C647DF" w14:textId="77777777" w:rsidTr="00031F13">
        <w:tc>
          <w:tcPr>
            <w:tcW w:w="1812" w:type="dxa"/>
          </w:tcPr>
          <w:p w14:paraId="0D5F8865" w14:textId="77777777" w:rsidR="000B19B8" w:rsidRPr="001B7AA7" w:rsidRDefault="000B19B8" w:rsidP="005916E5">
            <w:pPr>
              <w:spacing w:line="276" w:lineRule="auto"/>
              <w:rPr>
                <w:rFonts w:ascii="Arial" w:hAnsi="Arial" w:cs="Arial"/>
                <w:sz w:val="21"/>
                <w:szCs w:val="21"/>
              </w:rPr>
            </w:pPr>
          </w:p>
        </w:tc>
        <w:tc>
          <w:tcPr>
            <w:tcW w:w="1812" w:type="dxa"/>
          </w:tcPr>
          <w:p w14:paraId="25003268"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ČR (%)</w:t>
            </w:r>
          </w:p>
        </w:tc>
        <w:tc>
          <w:tcPr>
            <w:tcW w:w="1812" w:type="dxa"/>
          </w:tcPr>
          <w:p w14:paraId="139A7D9A"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Praha (%)</w:t>
            </w:r>
          </w:p>
        </w:tc>
        <w:tc>
          <w:tcPr>
            <w:tcW w:w="1812" w:type="dxa"/>
          </w:tcPr>
          <w:p w14:paraId="28D12ACE"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Čechy bez Prahy (%)</w:t>
            </w:r>
          </w:p>
        </w:tc>
        <w:tc>
          <w:tcPr>
            <w:tcW w:w="1812" w:type="dxa"/>
          </w:tcPr>
          <w:p w14:paraId="7B63DA9A"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Morava (%)</w:t>
            </w:r>
          </w:p>
        </w:tc>
      </w:tr>
      <w:tr w:rsidR="000B19B8" w:rsidRPr="001B7AA7" w14:paraId="71968B52" w14:textId="77777777" w:rsidTr="00031F13">
        <w:tc>
          <w:tcPr>
            <w:tcW w:w="1812" w:type="dxa"/>
          </w:tcPr>
          <w:p w14:paraId="11C00EA8" w14:textId="3F3DFEDF" w:rsidR="000B19B8" w:rsidRPr="001B7AA7" w:rsidRDefault="005916E5" w:rsidP="005916E5">
            <w:pPr>
              <w:spacing w:line="276" w:lineRule="auto"/>
              <w:rPr>
                <w:rFonts w:ascii="Arial" w:hAnsi="Arial" w:cs="Arial"/>
                <w:sz w:val="21"/>
                <w:szCs w:val="21"/>
              </w:rPr>
            </w:pPr>
            <w:r>
              <w:rPr>
                <w:rFonts w:ascii="Arial" w:hAnsi="Arial" w:cs="Arial"/>
                <w:sz w:val="21"/>
                <w:szCs w:val="21"/>
              </w:rPr>
              <w:t>Ú</w:t>
            </w:r>
            <w:r w:rsidR="000B19B8" w:rsidRPr="001B7AA7">
              <w:rPr>
                <w:rFonts w:ascii="Arial" w:hAnsi="Arial" w:cs="Arial"/>
                <w:sz w:val="21"/>
                <w:szCs w:val="21"/>
              </w:rPr>
              <w:t>spory</w:t>
            </w:r>
          </w:p>
        </w:tc>
        <w:tc>
          <w:tcPr>
            <w:tcW w:w="1812" w:type="dxa"/>
          </w:tcPr>
          <w:p w14:paraId="0FFEF1F1"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54</w:t>
            </w:r>
          </w:p>
        </w:tc>
        <w:tc>
          <w:tcPr>
            <w:tcW w:w="1812" w:type="dxa"/>
          </w:tcPr>
          <w:p w14:paraId="429452CA"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61</w:t>
            </w:r>
          </w:p>
        </w:tc>
        <w:tc>
          <w:tcPr>
            <w:tcW w:w="1812" w:type="dxa"/>
          </w:tcPr>
          <w:p w14:paraId="4F38D79D"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52</w:t>
            </w:r>
          </w:p>
        </w:tc>
        <w:tc>
          <w:tcPr>
            <w:tcW w:w="1812" w:type="dxa"/>
          </w:tcPr>
          <w:p w14:paraId="52B47FC5"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54</w:t>
            </w:r>
          </w:p>
        </w:tc>
      </w:tr>
      <w:tr w:rsidR="000B19B8" w:rsidRPr="001B7AA7" w14:paraId="6AC86E26" w14:textId="77777777" w:rsidTr="00031F13">
        <w:tc>
          <w:tcPr>
            <w:tcW w:w="1812" w:type="dxa"/>
          </w:tcPr>
          <w:p w14:paraId="376BB210" w14:textId="46C264D1" w:rsidR="000B19B8" w:rsidRPr="001B7AA7" w:rsidRDefault="005916E5" w:rsidP="005916E5">
            <w:pPr>
              <w:spacing w:line="276" w:lineRule="auto"/>
              <w:rPr>
                <w:rFonts w:ascii="Arial" w:hAnsi="Arial" w:cs="Arial"/>
                <w:sz w:val="21"/>
                <w:szCs w:val="21"/>
              </w:rPr>
            </w:pPr>
            <w:r>
              <w:rPr>
                <w:rFonts w:ascii="Arial" w:hAnsi="Arial" w:cs="Arial"/>
                <w:sz w:val="21"/>
                <w:szCs w:val="21"/>
              </w:rPr>
              <w:t>V</w:t>
            </w:r>
            <w:r w:rsidR="000B19B8" w:rsidRPr="001B7AA7">
              <w:rPr>
                <w:rFonts w:ascii="Arial" w:hAnsi="Arial" w:cs="Arial"/>
                <w:sz w:val="21"/>
                <w:szCs w:val="21"/>
              </w:rPr>
              <w:t>ýplata</w:t>
            </w:r>
          </w:p>
        </w:tc>
        <w:tc>
          <w:tcPr>
            <w:tcW w:w="1812" w:type="dxa"/>
          </w:tcPr>
          <w:p w14:paraId="399AF198"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22</w:t>
            </w:r>
          </w:p>
        </w:tc>
        <w:tc>
          <w:tcPr>
            <w:tcW w:w="1812" w:type="dxa"/>
          </w:tcPr>
          <w:p w14:paraId="08332FA3"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17</w:t>
            </w:r>
          </w:p>
        </w:tc>
        <w:tc>
          <w:tcPr>
            <w:tcW w:w="1812" w:type="dxa"/>
          </w:tcPr>
          <w:p w14:paraId="2EB72468"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25</w:t>
            </w:r>
          </w:p>
        </w:tc>
        <w:tc>
          <w:tcPr>
            <w:tcW w:w="1812" w:type="dxa"/>
          </w:tcPr>
          <w:p w14:paraId="42FC795B"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19</w:t>
            </w:r>
          </w:p>
        </w:tc>
      </w:tr>
      <w:tr w:rsidR="000B19B8" w:rsidRPr="001B7AA7" w14:paraId="60617FFB" w14:textId="77777777" w:rsidTr="00031F13">
        <w:tc>
          <w:tcPr>
            <w:tcW w:w="1812" w:type="dxa"/>
          </w:tcPr>
          <w:p w14:paraId="26369CB2"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Úvěr či půjčka</w:t>
            </w:r>
          </w:p>
        </w:tc>
        <w:tc>
          <w:tcPr>
            <w:tcW w:w="1812" w:type="dxa"/>
          </w:tcPr>
          <w:p w14:paraId="182619EE"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5</w:t>
            </w:r>
          </w:p>
        </w:tc>
        <w:tc>
          <w:tcPr>
            <w:tcW w:w="1812" w:type="dxa"/>
          </w:tcPr>
          <w:p w14:paraId="08BD7AF5"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4</w:t>
            </w:r>
          </w:p>
        </w:tc>
        <w:tc>
          <w:tcPr>
            <w:tcW w:w="1812" w:type="dxa"/>
          </w:tcPr>
          <w:p w14:paraId="6822C505"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6</w:t>
            </w:r>
          </w:p>
        </w:tc>
        <w:tc>
          <w:tcPr>
            <w:tcW w:w="1812" w:type="dxa"/>
          </w:tcPr>
          <w:p w14:paraId="18ED3D9D" w14:textId="77777777" w:rsidR="000B19B8" w:rsidRPr="001B7AA7" w:rsidRDefault="000B19B8" w:rsidP="005916E5">
            <w:pPr>
              <w:spacing w:line="276" w:lineRule="auto"/>
              <w:rPr>
                <w:rFonts w:ascii="Arial" w:hAnsi="Arial" w:cs="Arial"/>
                <w:sz w:val="21"/>
                <w:szCs w:val="21"/>
              </w:rPr>
            </w:pPr>
            <w:r w:rsidRPr="001B7AA7">
              <w:rPr>
                <w:rFonts w:ascii="Arial" w:hAnsi="Arial" w:cs="Arial"/>
                <w:sz w:val="21"/>
                <w:szCs w:val="21"/>
              </w:rPr>
              <w:t>5</w:t>
            </w:r>
          </w:p>
        </w:tc>
      </w:tr>
    </w:tbl>
    <w:p w14:paraId="36A4D888" w14:textId="77777777" w:rsidR="005916E5" w:rsidRDefault="005916E5" w:rsidP="005916E5">
      <w:pPr>
        <w:spacing w:after="0" w:line="276" w:lineRule="auto"/>
        <w:rPr>
          <w:rFonts w:ascii="Arial" w:hAnsi="Arial" w:cs="Arial"/>
          <w:b/>
          <w:bCs/>
          <w:sz w:val="21"/>
          <w:szCs w:val="21"/>
        </w:rPr>
      </w:pPr>
    </w:p>
    <w:p w14:paraId="6705942E" w14:textId="2AA27D12" w:rsidR="000B19B8" w:rsidRPr="001B7AA7" w:rsidRDefault="000B19B8" w:rsidP="005916E5">
      <w:pPr>
        <w:spacing w:after="0" w:line="276" w:lineRule="auto"/>
        <w:rPr>
          <w:rFonts w:ascii="Arial" w:hAnsi="Arial" w:cs="Arial"/>
          <w:b/>
          <w:bCs/>
          <w:sz w:val="21"/>
          <w:szCs w:val="21"/>
        </w:rPr>
      </w:pPr>
      <w:r w:rsidRPr="001B7AA7">
        <w:rPr>
          <w:rFonts w:ascii="Arial" w:hAnsi="Arial" w:cs="Arial"/>
          <w:b/>
          <w:bCs/>
          <w:sz w:val="21"/>
          <w:szCs w:val="21"/>
        </w:rPr>
        <w:t>Doporučení pro domácnosti</w:t>
      </w:r>
    </w:p>
    <w:p w14:paraId="01C5E9DA" w14:textId="7059DE6B" w:rsidR="001B7AA7" w:rsidRDefault="000B19B8" w:rsidP="005916E5">
      <w:pPr>
        <w:spacing w:after="0" w:line="276" w:lineRule="auto"/>
        <w:rPr>
          <w:rFonts w:ascii="Arial" w:hAnsi="Arial" w:cs="Arial"/>
          <w:sz w:val="21"/>
          <w:szCs w:val="21"/>
        </w:rPr>
      </w:pPr>
      <w:r w:rsidRPr="001B7AA7">
        <w:rPr>
          <w:rFonts w:ascii="Arial" w:hAnsi="Arial" w:cs="Arial"/>
          <w:sz w:val="21"/>
          <w:szCs w:val="21"/>
        </w:rPr>
        <w:t>„</w:t>
      </w:r>
      <w:r w:rsidRPr="005E1413">
        <w:rPr>
          <w:rFonts w:ascii="Arial" w:hAnsi="Arial" w:cs="Arial"/>
          <w:i/>
          <w:iCs/>
          <w:sz w:val="21"/>
          <w:szCs w:val="21"/>
        </w:rPr>
        <w:t>Z dlouhodobého hlediska je nejzdravější financovat větší výdaje primárně z vlastních úspor nebo běžného příjmu. Úvěr by měl být až doplňkovým řešením a vždy dobře promyšleným krokem</w:t>
      </w:r>
      <w:r w:rsidRPr="001B7AA7">
        <w:rPr>
          <w:rFonts w:ascii="Arial" w:hAnsi="Arial" w:cs="Arial"/>
          <w:sz w:val="21"/>
          <w:szCs w:val="21"/>
        </w:rPr>
        <w:t>,“ říká ombudsman klientů Home Creditu Miroslav Zborovský</w:t>
      </w:r>
      <w:r w:rsidR="00677F64">
        <w:rPr>
          <w:rFonts w:ascii="Arial" w:hAnsi="Arial" w:cs="Arial"/>
          <w:sz w:val="21"/>
          <w:szCs w:val="21"/>
        </w:rPr>
        <w:t xml:space="preserve"> a dodává: </w:t>
      </w:r>
      <w:r w:rsidRPr="001B7AA7">
        <w:rPr>
          <w:rFonts w:ascii="Arial" w:hAnsi="Arial" w:cs="Arial"/>
          <w:sz w:val="21"/>
          <w:szCs w:val="21"/>
        </w:rPr>
        <w:t>„</w:t>
      </w:r>
      <w:r w:rsidRPr="005E1413">
        <w:rPr>
          <w:rFonts w:ascii="Arial" w:hAnsi="Arial" w:cs="Arial"/>
          <w:i/>
          <w:iCs/>
          <w:sz w:val="21"/>
          <w:szCs w:val="21"/>
        </w:rPr>
        <w:t>Domácnosti by si měly před každým větším výdajem zhodnotit svou finanční rezervu a schopnost splácet. Opatrnost je na místě zejména v době, kdy ekonomická situace zůstává proměnlivá</w:t>
      </w:r>
      <w:r w:rsidR="00677F64">
        <w:rPr>
          <w:rFonts w:ascii="Arial" w:hAnsi="Arial" w:cs="Arial"/>
          <w:sz w:val="21"/>
          <w:szCs w:val="21"/>
        </w:rPr>
        <w:t>.</w:t>
      </w:r>
      <w:r w:rsidRPr="001B7AA7">
        <w:rPr>
          <w:rFonts w:ascii="Arial" w:hAnsi="Arial" w:cs="Arial"/>
          <w:sz w:val="21"/>
          <w:szCs w:val="21"/>
        </w:rPr>
        <w:t>“</w:t>
      </w:r>
    </w:p>
    <w:p w14:paraId="749CB59C" w14:textId="77777777" w:rsidR="005916E5" w:rsidRPr="001B7AA7" w:rsidRDefault="005916E5" w:rsidP="005916E5">
      <w:pPr>
        <w:spacing w:after="0" w:line="276" w:lineRule="auto"/>
        <w:rPr>
          <w:rFonts w:ascii="Arial" w:hAnsi="Arial" w:cs="Arial"/>
          <w:sz w:val="21"/>
          <w:szCs w:val="21"/>
        </w:rPr>
      </w:pPr>
    </w:p>
    <w:p w14:paraId="5F70FB61" w14:textId="019F2315" w:rsidR="00454966" w:rsidRPr="005916E5" w:rsidRDefault="00ED196C" w:rsidP="005916E5">
      <w:pPr>
        <w:spacing w:line="276" w:lineRule="auto"/>
        <w:rPr>
          <w:rFonts w:ascii="Arial" w:hAnsi="Arial" w:cs="Arial"/>
          <w:sz w:val="20"/>
          <w:szCs w:val="20"/>
        </w:rPr>
      </w:pPr>
      <w:r w:rsidRPr="00A8411C">
        <w:rPr>
          <w:rFonts w:ascii="Arial" w:hAnsi="Arial" w:cs="Arial"/>
          <w:b/>
          <w:bCs/>
          <w:sz w:val="20"/>
          <w:szCs w:val="20"/>
        </w:rPr>
        <w:t>Zdroj dat:</w:t>
      </w:r>
      <w:r w:rsidRPr="00A8411C">
        <w:rPr>
          <w:rFonts w:ascii="Arial" w:hAnsi="Arial" w:cs="Arial"/>
          <w:sz w:val="20"/>
          <w:szCs w:val="20"/>
        </w:rPr>
        <w:t xml:space="preserve"> Data pocházejí z interního průzkumu Home Credit realizovaného v České republice v dubnu 2026 agenturou Ipsos. Celková velikost vzorku je N = 1 041. Při citaci dat uvádějte zdroj: Home Credit, interní průzkum, ČR.</w:t>
      </w:r>
    </w:p>
    <w:p w14:paraId="78E29C2F" w14:textId="77777777" w:rsidR="005916E5" w:rsidRPr="00A8411C" w:rsidRDefault="005916E5" w:rsidP="008C2B57">
      <w:pPr>
        <w:spacing w:after="0" w:line="276" w:lineRule="auto"/>
        <w:rPr>
          <w:rFonts w:ascii="Arial" w:hAnsi="Arial" w:cs="Arial"/>
          <w:b/>
          <w:bCs/>
          <w:sz w:val="20"/>
          <w:szCs w:val="20"/>
        </w:rPr>
      </w:pPr>
    </w:p>
    <w:p w14:paraId="26FB9321" w14:textId="288EB987" w:rsidR="005916E5" w:rsidRDefault="00435015" w:rsidP="005916E5">
      <w:pPr>
        <w:rPr>
          <w:rFonts w:ascii="Arial" w:hAnsi="Arial" w:cs="Arial"/>
          <w:sz w:val="20"/>
          <w:szCs w:val="20"/>
        </w:rPr>
      </w:pPr>
      <w:r w:rsidRPr="00A8411C">
        <w:rPr>
          <w:rFonts w:ascii="Arial" w:hAnsi="Arial" w:cs="Arial"/>
          <w:sz w:val="20"/>
          <w:szCs w:val="20"/>
        </w:rPr>
        <w:t>Kateřina Dobešová</w:t>
      </w:r>
      <w:r w:rsidRPr="00A8411C">
        <w:rPr>
          <w:rFonts w:ascii="Arial" w:hAnsi="Arial" w:cs="Arial"/>
          <w:sz w:val="20"/>
          <w:szCs w:val="20"/>
        </w:rPr>
        <w:br/>
        <w:t>Tisková mluvčí Home Credit ČR a SR</w:t>
      </w:r>
      <w:r w:rsidRPr="00A8411C">
        <w:rPr>
          <w:rFonts w:ascii="Arial" w:hAnsi="Arial" w:cs="Arial"/>
          <w:sz w:val="20"/>
          <w:szCs w:val="20"/>
        </w:rPr>
        <w:br/>
        <w:t xml:space="preserve">Tel.: </w:t>
      </w:r>
      <w:hyperlink r:id="rId11" w:history="1">
        <w:r w:rsidRPr="00A8411C">
          <w:rPr>
            <w:rStyle w:val="Hypertextovodkaz"/>
            <w:rFonts w:ascii="Arial" w:hAnsi="Arial" w:cs="Arial"/>
            <w:sz w:val="20"/>
            <w:szCs w:val="20"/>
          </w:rPr>
          <w:t>+ 420 736 473 813</w:t>
        </w:r>
        <w:r w:rsidRPr="00A8411C">
          <w:rPr>
            <w:rStyle w:val="Hypertextovodkaz"/>
            <w:rFonts w:ascii="Arial" w:hAnsi="Arial" w:cs="Arial"/>
            <w:sz w:val="20"/>
            <w:szCs w:val="20"/>
          </w:rPr>
          <w:br/>
        </w:r>
      </w:hyperlink>
      <w:r w:rsidRPr="00A8411C">
        <w:rPr>
          <w:rFonts w:ascii="Arial" w:hAnsi="Arial" w:cs="Arial"/>
          <w:sz w:val="20"/>
          <w:szCs w:val="20"/>
        </w:rPr>
        <w:t xml:space="preserve">E-mail: </w:t>
      </w:r>
      <w:hyperlink r:id="rId12" w:history="1">
        <w:r w:rsidRPr="00A8411C">
          <w:rPr>
            <w:rStyle w:val="Hypertextovodkaz"/>
            <w:rFonts w:ascii="Arial" w:hAnsi="Arial" w:cs="Arial"/>
            <w:sz w:val="20"/>
            <w:szCs w:val="20"/>
          </w:rPr>
          <w:t>katerina.dobesova@homecredit.cz</w:t>
        </w:r>
      </w:hyperlink>
    </w:p>
    <w:p w14:paraId="186E2737" w14:textId="77777777" w:rsidR="005916E5" w:rsidRDefault="005916E5" w:rsidP="005916E5">
      <w:pPr>
        <w:rPr>
          <w:rFonts w:ascii="Arial" w:hAnsi="Arial" w:cs="Arial"/>
          <w:sz w:val="20"/>
          <w:szCs w:val="20"/>
        </w:rPr>
      </w:pPr>
    </w:p>
    <w:p w14:paraId="502CC5F0" w14:textId="6D13ADB3"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3"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4" w:tgtFrame="_blank" w:history="1">
        <w:r w:rsidRPr="008C2B57">
          <w:rPr>
            <w:rStyle w:val="Hypertextovodkaz"/>
            <w:rFonts w:ascii="Arial" w:hAnsi="Arial" w:cs="Arial"/>
            <w:sz w:val="20"/>
            <w:szCs w:val="20"/>
          </w:rPr>
          <w:t>www.homecredit.cz</w:t>
        </w:r>
      </w:hyperlink>
    </w:p>
    <w:p w14:paraId="253374CD" w14:textId="54E317F6" w:rsidR="008C2B57" w:rsidRPr="005916E5" w:rsidRDefault="00353E03" w:rsidP="00353E03">
      <w:pPr>
        <w:rPr>
          <w:rFonts w:ascii="Arial" w:eastAsia="Times New Roman" w:hAnsi="Arial" w:cs="Arial"/>
          <w:b/>
          <w:bCs/>
          <w:color w:val="000000"/>
          <w:kern w:val="0"/>
          <w:sz w:val="20"/>
          <w:szCs w:val="20"/>
          <w:lang w:eastAsia="cs-CZ"/>
          <w14:ligatures w14:val="none"/>
        </w:rPr>
      </w:pPr>
      <w:r w:rsidRPr="00353E03">
        <w:rPr>
          <w:rFonts w:ascii="Arial" w:eastAsia="Times New Roman" w:hAnsi="Arial" w:cs="Arial"/>
          <w:b/>
          <w:bCs/>
          <w:color w:val="000000"/>
          <w:kern w:val="0"/>
          <w:sz w:val="20"/>
          <w:szCs w:val="20"/>
          <w:lang w:eastAsia="cs-CZ"/>
          <w14:ligatures w14:val="none"/>
        </w:rPr>
        <w:t>Skupina PPF </w:t>
      </w:r>
      <w:r w:rsidRPr="00353E03">
        <w:rPr>
          <w:rFonts w:ascii="Arial" w:eastAsia="Times New Roman" w:hAnsi="Arial" w:cs="Arial"/>
          <w:color w:val="000000"/>
          <w:kern w:val="0"/>
          <w:sz w:val="20"/>
          <w:szCs w:val="20"/>
          <w:lang w:eastAsia="cs-CZ"/>
          <w14:ligatures w14:val="none"/>
        </w:rPr>
        <w:t>je soukromý mezinárodní investiční holding s různorodým portfoliem aktiv. Působí ve 25 zemích a investuje v mnoha odvětvích, včetně telekomunikací, médií, finančních služeb, nemovitostí, strojírenství a e-commerce. Skupina vlastní aktiva ve výši 42,6 miliardy eur a celosvětově zaměstnává 37 tisíc lidí (k 31. prosinci 2025).</w:t>
      </w:r>
      <w:r w:rsidRPr="00353E03">
        <w:rPr>
          <w:rFonts w:ascii="Arial" w:eastAsia="Times New Roman" w:hAnsi="Arial" w:cs="Arial"/>
          <w:b/>
          <w:bCs/>
          <w:color w:val="000000"/>
          <w:kern w:val="0"/>
          <w:sz w:val="20"/>
          <w:szCs w:val="20"/>
          <w:lang w:eastAsia="cs-CZ"/>
          <w14:ligatures w14:val="none"/>
        </w:rPr>
        <w:t> </w:t>
      </w:r>
    </w:p>
    <w:sectPr w:rsidR="008C2B57" w:rsidRPr="005916E5" w:rsidSect="00A03809">
      <w:headerReference w:type="default" r:id="rId15"/>
      <w:footerReference w:type="even" r:id="rId16"/>
      <w:footerReference w:type="default" r:id="rId17"/>
      <w:footerReference w:type="first" r:id="rId18"/>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E7D4" w14:textId="77777777" w:rsidR="000D3788" w:rsidRDefault="000D3788" w:rsidP="00DE7D53">
      <w:pPr>
        <w:spacing w:after="0" w:line="240" w:lineRule="auto"/>
      </w:pPr>
      <w:r>
        <w:separator/>
      </w:r>
    </w:p>
  </w:endnote>
  <w:endnote w:type="continuationSeparator" w:id="0">
    <w:p w14:paraId="546B38D8" w14:textId="77777777" w:rsidR="000D3788" w:rsidRDefault="000D3788"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321" w14:textId="77777777" w:rsidR="005B650F" w:rsidRDefault="005B65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EF2E" w14:textId="77777777" w:rsidR="000D3788" w:rsidRDefault="000D3788" w:rsidP="00DE7D53">
      <w:pPr>
        <w:spacing w:after="0" w:line="240" w:lineRule="auto"/>
      </w:pPr>
      <w:r>
        <w:separator/>
      </w:r>
    </w:p>
  </w:footnote>
  <w:footnote w:type="continuationSeparator" w:id="0">
    <w:p w14:paraId="56B36AF5" w14:textId="77777777" w:rsidR="000D3788" w:rsidRDefault="000D3788"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2"/>
  </w:num>
  <w:num w:numId="3" w16cid:durableId="1790197705">
    <w:abstractNumId w:val="1"/>
  </w:num>
  <w:num w:numId="4" w16cid:durableId="566305748">
    <w:abstractNumId w:val="4"/>
  </w:num>
  <w:num w:numId="5" w16cid:durableId="647705055">
    <w:abstractNumId w:val="5"/>
  </w:num>
  <w:num w:numId="6" w16cid:durableId="7678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2687"/>
    <w:rsid w:val="0000392E"/>
    <w:rsid w:val="00004D35"/>
    <w:rsid w:val="00012217"/>
    <w:rsid w:val="00016DF7"/>
    <w:rsid w:val="00020001"/>
    <w:rsid w:val="000258E4"/>
    <w:rsid w:val="000337EF"/>
    <w:rsid w:val="00041243"/>
    <w:rsid w:val="000417D3"/>
    <w:rsid w:val="00044AF7"/>
    <w:rsid w:val="00044C8F"/>
    <w:rsid w:val="0005132D"/>
    <w:rsid w:val="000539C5"/>
    <w:rsid w:val="00054154"/>
    <w:rsid w:val="00054B71"/>
    <w:rsid w:val="00063BC3"/>
    <w:rsid w:val="00075B39"/>
    <w:rsid w:val="000761CD"/>
    <w:rsid w:val="00081425"/>
    <w:rsid w:val="00083A47"/>
    <w:rsid w:val="00084AAB"/>
    <w:rsid w:val="00090FE1"/>
    <w:rsid w:val="00092372"/>
    <w:rsid w:val="000A04B6"/>
    <w:rsid w:val="000A3A08"/>
    <w:rsid w:val="000A4663"/>
    <w:rsid w:val="000A6ABF"/>
    <w:rsid w:val="000B0FBC"/>
    <w:rsid w:val="000B19B8"/>
    <w:rsid w:val="000B5D5E"/>
    <w:rsid w:val="000B7A25"/>
    <w:rsid w:val="000C001E"/>
    <w:rsid w:val="000C0BB7"/>
    <w:rsid w:val="000C22A8"/>
    <w:rsid w:val="000C53E3"/>
    <w:rsid w:val="000C7E9D"/>
    <w:rsid w:val="000D2C21"/>
    <w:rsid w:val="000D31E6"/>
    <w:rsid w:val="000D3788"/>
    <w:rsid w:val="000E05BD"/>
    <w:rsid w:val="000E1992"/>
    <w:rsid w:val="000F1F4F"/>
    <w:rsid w:val="000F64CE"/>
    <w:rsid w:val="0010054A"/>
    <w:rsid w:val="00101381"/>
    <w:rsid w:val="00103331"/>
    <w:rsid w:val="001035E6"/>
    <w:rsid w:val="00110034"/>
    <w:rsid w:val="00110F41"/>
    <w:rsid w:val="00111E28"/>
    <w:rsid w:val="00117D66"/>
    <w:rsid w:val="00121611"/>
    <w:rsid w:val="001222C8"/>
    <w:rsid w:val="001244B4"/>
    <w:rsid w:val="001266E5"/>
    <w:rsid w:val="00131B2B"/>
    <w:rsid w:val="0013375F"/>
    <w:rsid w:val="00135AA2"/>
    <w:rsid w:val="00136325"/>
    <w:rsid w:val="00136B54"/>
    <w:rsid w:val="0014524A"/>
    <w:rsid w:val="00147DC4"/>
    <w:rsid w:val="0015151F"/>
    <w:rsid w:val="001530D1"/>
    <w:rsid w:val="001556AB"/>
    <w:rsid w:val="00162A6F"/>
    <w:rsid w:val="00170205"/>
    <w:rsid w:val="00170CF0"/>
    <w:rsid w:val="00172890"/>
    <w:rsid w:val="00173438"/>
    <w:rsid w:val="00182DDB"/>
    <w:rsid w:val="00183A2B"/>
    <w:rsid w:val="00191927"/>
    <w:rsid w:val="0019344D"/>
    <w:rsid w:val="00194F9D"/>
    <w:rsid w:val="00195E17"/>
    <w:rsid w:val="001A2E20"/>
    <w:rsid w:val="001A49E1"/>
    <w:rsid w:val="001A6EDF"/>
    <w:rsid w:val="001B10AE"/>
    <w:rsid w:val="001B225F"/>
    <w:rsid w:val="001B3F2A"/>
    <w:rsid w:val="001B50F6"/>
    <w:rsid w:val="001B78A0"/>
    <w:rsid w:val="001B7AA7"/>
    <w:rsid w:val="001C1327"/>
    <w:rsid w:val="001C6040"/>
    <w:rsid w:val="001C7A1D"/>
    <w:rsid w:val="001D3D28"/>
    <w:rsid w:val="001E348C"/>
    <w:rsid w:val="001E7531"/>
    <w:rsid w:val="001F1948"/>
    <w:rsid w:val="001F2521"/>
    <w:rsid w:val="001F41E4"/>
    <w:rsid w:val="001F77FD"/>
    <w:rsid w:val="001F7812"/>
    <w:rsid w:val="002000C4"/>
    <w:rsid w:val="0020241D"/>
    <w:rsid w:val="00205555"/>
    <w:rsid w:val="0021127D"/>
    <w:rsid w:val="00211EE7"/>
    <w:rsid w:val="0022129B"/>
    <w:rsid w:val="00224302"/>
    <w:rsid w:val="00225811"/>
    <w:rsid w:val="0023131F"/>
    <w:rsid w:val="002314AD"/>
    <w:rsid w:val="002326D8"/>
    <w:rsid w:val="00236158"/>
    <w:rsid w:val="00237B2A"/>
    <w:rsid w:val="00245094"/>
    <w:rsid w:val="00245DC6"/>
    <w:rsid w:val="002544FA"/>
    <w:rsid w:val="0025743D"/>
    <w:rsid w:val="002604DF"/>
    <w:rsid w:val="0026234C"/>
    <w:rsid w:val="00262C96"/>
    <w:rsid w:val="002642D3"/>
    <w:rsid w:val="00266661"/>
    <w:rsid w:val="00272F4A"/>
    <w:rsid w:val="002844EA"/>
    <w:rsid w:val="00290C0F"/>
    <w:rsid w:val="00296212"/>
    <w:rsid w:val="00296AD5"/>
    <w:rsid w:val="002A1861"/>
    <w:rsid w:val="002A32E7"/>
    <w:rsid w:val="002A5531"/>
    <w:rsid w:val="002A76BA"/>
    <w:rsid w:val="002A77E0"/>
    <w:rsid w:val="002B0D44"/>
    <w:rsid w:val="002B319F"/>
    <w:rsid w:val="002B5B3A"/>
    <w:rsid w:val="002C3986"/>
    <w:rsid w:val="002C6E10"/>
    <w:rsid w:val="002D2303"/>
    <w:rsid w:val="002D2A86"/>
    <w:rsid w:val="002D4B81"/>
    <w:rsid w:val="002D6D8C"/>
    <w:rsid w:val="002E2686"/>
    <w:rsid w:val="002E2FAD"/>
    <w:rsid w:val="002E3987"/>
    <w:rsid w:val="002E51E9"/>
    <w:rsid w:val="002E6C4A"/>
    <w:rsid w:val="002F056B"/>
    <w:rsid w:val="002F098B"/>
    <w:rsid w:val="002F241C"/>
    <w:rsid w:val="00302A4F"/>
    <w:rsid w:val="00303465"/>
    <w:rsid w:val="003059A4"/>
    <w:rsid w:val="00307D82"/>
    <w:rsid w:val="00310A8B"/>
    <w:rsid w:val="003117BA"/>
    <w:rsid w:val="00312F08"/>
    <w:rsid w:val="00315FA7"/>
    <w:rsid w:val="00317157"/>
    <w:rsid w:val="00320909"/>
    <w:rsid w:val="00327066"/>
    <w:rsid w:val="0032749F"/>
    <w:rsid w:val="003311FF"/>
    <w:rsid w:val="00332C5C"/>
    <w:rsid w:val="003505E6"/>
    <w:rsid w:val="00351D5A"/>
    <w:rsid w:val="00353E03"/>
    <w:rsid w:val="00356DC3"/>
    <w:rsid w:val="003634D0"/>
    <w:rsid w:val="00364758"/>
    <w:rsid w:val="00364E9E"/>
    <w:rsid w:val="003655F3"/>
    <w:rsid w:val="00365FCD"/>
    <w:rsid w:val="00367C84"/>
    <w:rsid w:val="003713EA"/>
    <w:rsid w:val="00382865"/>
    <w:rsid w:val="003860BC"/>
    <w:rsid w:val="0039201C"/>
    <w:rsid w:val="003930FB"/>
    <w:rsid w:val="003968C9"/>
    <w:rsid w:val="003973A5"/>
    <w:rsid w:val="003A1C72"/>
    <w:rsid w:val="003B009D"/>
    <w:rsid w:val="003B0754"/>
    <w:rsid w:val="003B094A"/>
    <w:rsid w:val="003B3FAE"/>
    <w:rsid w:val="003C29C2"/>
    <w:rsid w:val="003C65C1"/>
    <w:rsid w:val="003C7FAB"/>
    <w:rsid w:val="003D23D6"/>
    <w:rsid w:val="003E19CE"/>
    <w:rsid w:val="003F0436"/>
    <w:rsid w:val="003F4E81"/>
    <w:rsid w:val="003F4F0D"/>
    <w:rsid w:val="003F505F"/>
    <w:rsid w:val="00400BE9"/>
    <w:rsid w:val="00400EF4"/>
    <w:rsid w:val="00403EB6"/>
    <w:rsid w:val="00404151"/>
    <w:rsid w:val="00404DB5"/>
    <w:rsid w:val="00414E86"/>
    <w:rsid w:val="0042019A"/>
    <w:rsid w:val="00421CDF"/>
    <w:rsid w:val="00422E59"/>
    <w:rsid w:val="00425B0E"/>
    <w:rsid w:val="004268CC"/>
    <w:rsid w:val="00432E51"/>
    <w:rsid w:val="00435015"/>
    <w:rsid w:val="00437CC2"/>
    <w:rsid w:val="0044015A"/>
    <w:rsid w:val="00445BF3"/>
    <w:rsid w:val="00446683"/>
    <w:rsid w:val="004504CE"/>
    <w:rsid w:val="00454966"/>
    <w:rsid w:val="004566A5"/>
    <w:rsid w:val="00462A38"/>
    <w:rsid w:val="00471228"/>
    <w:rsid w:val="004849A2"/>
    <w:rsid w:val="00493267"/>
    <w:rsid w:val="00493AF9"/>
    <w:rsid w:val="004943FA"/>
    <w:rsid w:val="004A3DC4"/>
    <w:rsid w:val="004A45AC"/>
    <w:rsid w:val="004A66D6"/>
    <w:rsid w:val="004B0AF7"/>
    <w:rsid w:val="004B6DDA"/>
    <w:rsid w:val="004C355F"/>
    <w:rsid w:val="004C6C1F"/>
    <w:rsid w:val="004D10C8"/>
    <w:rsid w:val="004D1F42"/>
    <w:rsid w:val="004D28BF"/>
    <w:rsid w:val="004D6F1A"/>
    <w:rsid w:val="004D72C0"/>
    <w:rsid w:val="004E18B2"/>
    <w:rsid w:val="004E5886"/>
    <w:rsid w:val="004E5E5C"/>
    <w:rsid w:val="004E7E5B"/>
    <w:rsid w:val="004F0168"/>
    <w:rsid w:val="004F1206"/>
    <w:rsid w:val="004F1870"/>
    <w:rsid w:val="005037BA"/>
    <w:rsid w:val="0051263C"/>
    <w:rsid w:val="005139B3"/>
    <w:rsid w:val="00514A90"/>
    <w:rsid w:val="00516B28"/>
    <w:rsid w:val="00524624"/>
    <w:rsid w:val="00524D3C"/>
    <w:rsid w:val="0052534B"/>
    <w:rsid w:val="00525C02"/>
    <w:rsid w:val="00534B99"/>
    <w:rsid w:val="00534CB3"/>
    <w:rsid w:val="0054152E"/>
    <w:rsid w:val="00543532"/>
    <w:rsid w:val="00543611"/>
    <w:rsid w:val="00543E57"/>
    <w:rsid w:val="00544DF6"/>
    <w:rsid w:val="005469CC"/>
    <w:rsid w:val="00550CDD"/>
    <w:rsid w:val="00551898"/>
    <w:rsid w:val="0055401D"/>
    <w:rsid w:val="00556BF8"/>
    <w:rsid w:val="00556F7C"/>
    <w:rsid w:val="0056158D"/>
    <w:rsid w:val="005663A1"/>
    <w:rsid w:val="0057209D"/>
    <w:rsid w:val="005734F3"/>
    <w:rsid w:val="005756AF"/>
    <w:rsid w:val="00575FD0"/>
    <w:rsid w:val="005811C8"/>
    <w:rsid w:val="0058582E"/>
    <w:rsid w:val="005859CD"/>
    <w:rsid w:val="00585B84"/>
    <w:rsid w:val="005873E9"/>
    <w:rsid w:val="00590B13"/>
    <w:rsid w:val="005916E5"/>
    <w:rsid w:val="00594705"/>
    <w:rsid w:val="00596578"/>
    <w:rsid w:val="005A5D0F"/>
    <w:rsid w:val="005A7444"/>
    <w:rsid w:val="005B0325"/>
    <w:rsid w:val="005B1CAC"/>
    <w:rsid w:val="005B1D83"/>
    <w:rsid w:val="005B38A7"/>
    <w:rsid w:val="005B650F"/>
    <w:rsid w:val="005B7767"/>
    <w:rsid w:val="005C196F"/>
    <w:rsid w:val="005C3632"/>
    <w:rsid w:val="005D0C48"/>
    <w:rsid w:val="005D2446"/>
    <w:rsid w:val="005D3948"/>
    <w:rsid w:val="005D6E4F"/>
    <w:rsid w:val="005E028B"/>
    <w:rsid w:val="005E1038"/>
    <w:rsid w:val="005E1413"/>
    <w:rsid w:val="005E5941"/>
    <w:rsid w:val="005F2275"/>
    <w:rsid w:val="00606387"/>
    <w:rsid w:val="00616F14"/>
    <w:rsid w:val="00620663"/>
    <w:rsid w:val="00621753"/>
    <w:rsid w:val="0063006A"/>
    <w:rsid w:val="0064200B"/>
    <w:rsid w:val="0064387C"/>
    <w:rsid w:val="00647933"/>
    <w:rsid w:val="00650202"/>
    <w:rsid w:val="00656581"/>
    <w:rsid w:val="00660955"/>
    <w:rsid w:val="00666EE8"/>
    <w:rsid w:val="00670252"/>
    <w:rsid w:val="00677F64"/>
    <w:rsid w:val="00681027"/>
    <w:rsid w:val="0068436B"/>
    <w:rsid w:val="00684A65"/>
    <w:rsid w:val="006A0182"/>
    <w:rsid w:val="006A6572"/>
    <w:rsid w:val="006B6C0F"/>
    <w:rsid w:val="006C2E5F"/>
    <w:rsid w:val="006C723B"/>
    <w:rsid w:val="006D0801"/>
    <w:rsid w:val="006D1217"/>
    <w:rsid w:val="006D25C3"/>
    <w:rsid w:val="006D431B"/>
    <w:rsid w:val="006D6618"/>
    <w:rsid w:val="006D7375"/>
    <w:rsid w:val="006E3835"/>
    <w:rsid w:val="006E655C"/>
    <w:rsid w:val="006F12D6"/>
    <w:rsid w:val="006F63B1"/>
    <w:rsid w:val="006F65BD"/>
    <w:rsid w:val="0070048D"/>
    <w:rsid w:val="00704474"/>
    <w:rsid w:val="00704A9F"/>
    <w:rsid w:val="007078EA"/>
    <w:rsid w:val="00707C77"/>
    <w:rsid w:val="00716EE3"/>
    <w:rsid w:val="00720028"/>
    <w:rsid w:val="00720FC1"/>
    <w:rsid w:val="00727F45"/>
    <w:rsid w:val="00733CF4"/>
    <w:rsid w:val="00742359"/>
    <w:rsid w:val="00745144"/>
    <w:rsid w:val="00751F38"/>
    <w:rsid w:val="007551B9"/>
    <w:rsid w:val="00757F21"/>
    <w:rsid w:val="00762620"/>
    <w:rsid w:val="00764DB7"/>
    <w:rsid w:val="0077175D"/>
    <w:rsid w:val="00771B59"/>
    <w:rsid w:val="00772D42"/>
    <w:rsid w:val="007748A3"/>
    <w:rsid w:val="00774C47"/>
    <w:rsid w:val="00776C4C"/>
    <w:rsid w:val="00784092"/>
    <w:rsid w:val="00785884"/>
    <w:rsid w:val="007903F7"/>
    <w:rsid w:val="007905DB"/>
    <w:rsid w:val="0079196C"/>
    <w:rsid w:val="00792AC3"/>
    <w:rsid w:val="007961F4"/>
    <w:rsid w:val="00796ECA"/>
    <w:rsid w:val="007A45C6"/>
    <w:rsid w:val="007A556C"/>
    <w:rsid w:val="007B10AF"/>
    <w:rsid w:val="007B1A28"/>
    <w:rsid w:val="007B4121"/>
    <w:rsid w:val="007B56E0"/>
    <w:rsid w:val="007B6154"/>
    <w:rsid w:val="007D21AE"/>
    <w:rsid w:val="007D54DB"/>
    <w:rsid w:val="007E2A6B"/>
    <w:rsid w:val="007E5E30"/>
    <w:rsid w:val="007E6B18"/>
    <w:rsid w:val="007F1C60"/>
    <w:rsid w:val="007F7191"/>
    <w:rsid w:val="007F792E"/>
    <w:rsid w:val="00802685"/>
    <w:rsid w:val="00803758"/>
    <w:rsid w:val="008075EE"/>
    <w:rsid w:val="0081416D"/>
    <w:rsid w:val="0081541E"/>
    <w:rsid w:val="00815E20"/>
    <w:rsid w:val="00816F96"/>
    <w:rsid w:val="00817773"/>
    <w:rsid w:val="00817A9D"/>
    <w:rsid w:val="0083144D"/>
    <w:rsid w:val="00833544"/>
    <w:rsid w:val="00835436"/>
    <w:rsid w:val="0084345C"/>
    <w:rsid w:val="00843E91"/>
    <w:rsid w:val="00844448"/>
    <w:rsid w:val="0085288B"/>
    <w:rsid w:val="00853F95"/>
    <w:rsid w:val="00856C18"/>
    <w:rsid w:val="00857320"/>
    <w:rsid w:val="00866C2B"/>
    <w:rsid w:val="00867CB2"/>
    <w:rsid w:val="00871837"/>
    <w:rsid w:val="00881842"/>
    <w:rsid w:val="00882CD2"/>
    <w:rsid w:val="0088529B"/>
    <w:rsid w:val="00885FAB"/>
    <w:rsid w:val="00886B2A"/>
    <w:rsid w:val="00895C37"/>
    <w:rsid w:val="00895F09"/>
    <w:rsid w:val="00896DE3"/>
    <w:rsid w:val="008971C3"/>
    <w:rsid w:val="008A3711"/>
    <w:rsid w:val="008A4A31"/>
    <w:rsid w:val="008A695D"/>
    <w:rsid w:val="008B2127"/>
    <w:rsid w:val="008B7C91"/>
    <w:rsid w:val="008C1403"/>
    <w:rsid w:val="008C20C7"/>
    <w:rsid w:val="008C2B57"/>
    <w:rsid w:val="008C3C45"/>
    <w:rsid w:val="008C4172"/>
    <w:rsid w:val="008D04B2"/>
    <w:rsid w:val="008D3A0F"/>
    <w:rsid w:val="008D6501"/>
    <w:rsid w:val="008E1876"/>
    <w:rsid w:val="008F1713"/>
    <w:rsid w:val="008F55A8"/>
    <w:rsid w:val="008F5727"/>
    <w:rsid w:val="008F6B5F"/>
    <w:rsid w:val="009174DC"/>
    <w:rsid w:val="00917F57"/>
    <w:rsid w:val="009240EE"/>
    <w:rsid w:val="009273F4"/>
    <w:rsid w:val="00932E40"/>
    <w:rsid w:val="009371B7"/>
    <w:rsid w:val="00944522"/>
    <w:rsid w:val="0094585E"/>
    <w:rsid w:val="00951CE3"/>
    <w:rsid w:val="00954ED4"/>
    <w:rsid w:val="0095712E"/>
    <w:rsid w:val="00960D95"/>
    <w:rsid w:val="00960F8E"/>
    <w:rsid w:val="00961946"/>
    <w:rsid w:val="0096243A"/>
    <w:rsid w:val="00963B37"/>
    <w:rsid w:val="00965505"/>
    <w:rsid w:val="009658D5"/>
    <w:rsid w:val="009835B1"/>
    <w:rsid w:val="00984063"/>
    <w:rsid w:val="00986EC5"/>
    <w:rsid w:val="0098744A"/>
    <w:rsid w:val="009906A1"/>
    <w:rsid w:val="00996015"/>
    <w:rsid w:val="00997964"/>
    <w:rsid w:val="00997B60"/>
    <w:rsid w:val="009A04FC"/>
    <w:rsid w:val="009A3EF4"/>
    <w:rsid w:val="009A472D"/>
    <w:rsid w:val="009A665B"/>
    <w:rsid w:val="009A7D51"/>
    <w:rsid w:val="009B0351"/>
    <w:rsid w:val="009B07B4"/>
    <w:rsid w:val="009B3C47"/>
    <w:rsid w:val="009B3DF7"/>
    <w:rsid w:val="009B6D65"/>
    <w:rsid w:val="009C344B"/>
    <w:rsid w:val="009C36B0"/>
    <w:rsid w:val="009C66DE"/>
    <w:rsid w:val="009D3FFE"/>
    <w:rsid w:val="009D4583"/>
    <w:rsid w:val="009D4F20"/>
    <w:rsid w:val="009E07AE"/>
    <w:rsid w:val="009E1E0F"/>
    <w:rsid w:val="009E2803"/>
    <w:rsid w:val="009E3C9E"/>
    <w:rsid w:val="009E7550"/>
    <w:rsid w:val="009F0962"/>
    <w:rsid w:val="009F14A6"/>
    <w:rsid w:val="009F1796"/>
    <w:rsid w:val="009F225D"/>
    <w:rsid w:val="009F433C"/>
    <w:rsid w:val="009F54A7"/>
    <w:rsid w:val="009F7272"/>
    <w:rsid w:val="00A010A9"/>
    <w:rsid w:val="00A01EE8"/>
    <w:rsid w:val="00A03809"/>
    <w:rsid w:val="00A0548F"/>
    <w:rsid w:val="00A10C0A"/>
    <w:rsid w:val="00A124A3"/>
    <w:rsid w:val="00A1318A"/>
    <w:rsid w:val="00A15960"/>
    <w:rsid w:val="00A21C38"/>
    <w:rsid w:val="00A22F9F"/>
    <w:rsid w:val="00A24321"/>
    <w:rsid w:val="00A26ECB"/>
    <w:rsid w:val="00A27BD5"/>
    <w:rsid w:val="00A3190D"/>
    <w:rsid w:val="00A342C6"/>
    <w:rsid w:val="00A349BF"/>
    <w:rsid w:val="00A368FF"/>
    <w:rsid w:val="00A42CEE"/>
    <w:rsid w:val="00A561F3"/>
    <w:rsid w:val="00A715BA"/>
    <w:rsid w:val="00A77916"/>
    <w:rsid w:val="00A83A35"/>
    <w:rsid w:val="00A840D2"/>
    <w:rsid w:val="00A8411C"/>
    <w:rsid w:val="00A90F29"/>
    <w:rsid w:val="00A928A4"/>
    <w:rsid w:val="00A93537"/>
    <w:rsid w:val="00A965D8"/>
    <w:rsid w:val="00AA742E"/>
    <w:rsid w:val="00AB4050"/>
    <w:rsid w:val="00AB514F"/>
    <w:rsid w:val="00AC0554"/>
    <w:rsid w:val="00AC0804"/>
    <w:rsid w:val="00AC3A72"/>
    <w:rsid w:val="00AC441B"/>
    <w:rsid w:val="00AC6A1B"/>
    <w:rsid w:val="00AD1231"/>
    <w:rsid w:val="00AD419A"/>
    <w:rsid w:val="00AE1EB8"/>
    <w:rsid w:val="00AE29A4"/>
    <w:rsid w:val="00AE529C"/>
    <w:rsid w:val="00AF04F9"/>
    <w:rsid w:val="00B038A8"/>
    <w:rsid w:val="00B0580D"/>
    <w:rsid w:val="00B13578"/>
    <w:rsid w:val="00B13FFB"/>
    <w:rsid w:val="00B170F3"/>
    <w:rsid w:val="00B25C9D"/>
    <w:rsid w:val="00B26453"/>
    <w:rsid w:val="00B3294C"/>
    <w:rsid w:val="00B335D9"/>
    <w:rsid w:val="00B41CD6"/>
    <w:rsid w:val="00B53471"/>
    <w:rsid w:val="00B549A6"/>
    <w:rsid w:val="00B620D9"/>
    <w:rsid w:val="00B633AA"/>
    <w:rsid w:val="00B63600"/>
    <w:rsid w:val="00B65C70"/>
    <w:rsid w:val="00B67508"/>
    <w:rsid w:val="00B67638"/>
    <w:rsid w:val="00B71F65"/>
    <w:rsid w:val="00B750BC"/>
    <w:rsid w:val="00B754C4"/>
    <w:rsid w:val="00B77112"/>
    <w:rsid w:val="00B8075C"/>
    <w:rsid w:val="00B82773"/>
    <w:rsid w:val="00B82787"/>
    <w:rsid w:val="00B83DC9"/>
    <w:rsid w:val="00B84072"/>
    <w:rsid w:val="00B9320A"/>
    <w:rsid w:val="00B932EC"/>
    <w:rsid w:val="00B94024"/>
    <w:rsid w:val="00B95AE3"/>
    <w:rsid w:val="00BA2788"/>
    <w:rsid w:val="00BC5F7F"/>
    <w:rsid w:val="00BD082F"/>
    <w:rsid w:val="00BD4513"/>
    <w:rsid w:val="00BD7A83"/>
    <w:rsid w:val="00BF243D"/>
    <w:rsid w:val="00C078DE"/>
    <w:rsid w:val="00C079FE"/>
    <w:rsid w:val="00C11EB7"/>
    <w:rsid w:val="00C150B2"/>
    <w:rsid w:val="00C16689"/>
    <w:rsid w:val="00C22AA5"/>
    <w:rsid w:val="00C261FB"/>
    <w:rsid w:val="00C26D68"/>
    <w:rsid w:val="00C35815"/>
    <w:rsid w:val="00C47B05"/>
    <w:rsid w:val="00C535F1"/>
    <w:rsid w:val="00C55260"/>
    <w:rsid w:val="00C57276"/>
    <w:rsid w:val="00C631CF"/>
    <w:rsid w:val="00C66BAF"/>
    <w:rsid w:val="00C716A0"/>
    <w:rsid w:val="00C7193A"/>
    <w:rsid w:val="00C72498"/>
    <w:rsid w:val="00C73EF0"/>
    <w:rsid w:val="00C8139E"/>
    <w:rsid w:val="00C82FC4"/>
    <w:rsid w:val="00C85534"/>
    <w:rsid w:val="00C91644"/>
    <w:rsid w:val="00C91EC2"/>
    <w:rsid w:val="00C93665"/>
    <w:rsid w:val="00C976CF"/>
    <w:rsid w:val="00C978EA"/>
    <w:rsid w:val="00CA5187"/>
    <w:rsid w:val="00CA5D26"/>
    <w:rsid w:val="00CB0D5A"/>
    <w:rsid w:val="00CB4122"/>
    <w:rsid w:val="00CB5800"/>
    <w:rsid w:val="00CC397B"/>
    <w:rsid w:val="00CC4D12"/>
    <w:rsid w:val="00CC56FF"/>
    <w:rsid w:val="00CC5C32"/>
    <w:rsid w:val="00CD0756"/>
    <w:rsid w:val="00CD0F5D"/>
    <w:rsid w:val="00CD24F8"/>
    <w:rsid w:val="00CD3BF1"/>
    <w:rsid w:val="00CD3DFF"/>
    <w:rsid w:val="00CD4AD4"/>
    <w:rsid w:val="00CD59AB"/>
    <w:rsid w:val="00CE1061"/>
    <w:rsid w:val="00CE3174"/>
    <w:rsid w:val="00CE67C7"/>
    <w:rsid w:val="00CF190D"/>
    <w:rsid w:val="00CF1DD1"/>
    <w:rsid w:val="00CF78F2"/>
    <w:rsid w:val="00D0152B"/>
    <w:rsid w:val="00D028C5"/>
    <w:rsid w:val="00D15319"/>
    <w:rsid w:val="00D21717"/>
    <w:rsid w:val="00D250D1"/>
    <w:rsid w:val="00D3119D"/>
    <w:rsid w:val="00D32261"/>
    <w:rsid w:val="00D32D98"/>
    <w:rsid w:val="00D346A4"/>
    <w:rsid w:val="00D37A46"/>
    <w:rsid w:val="00D5134B"/>
    <w:rsid w:val="00D5576F"/>
    <w:rsid w:val="00D60C02"/>
    <w:rsid w:val="00D614C5"/>
    <w:rsid w:val="00D617D9"/>
    <w:rsid w:val="00D66E49"/>
    <w:rsid w:val="00D67261"/>
    <w:rsid w:val="00D6755F"/>
    <w:rsid w:val="00D7046F"/>
    <w:rsid w:val="00D70D45"/>
    <w:rsid w:val="00D722CA"/>
    <w:rsid w:val="00D74735"/>
    <w:rsid w:val="00D767C8"/>
    <w:rsid w:val="00D76CE7"/>
    <w:rsid w:val="00D800B8"/>
    <w:rsid w:val="00D80B48"/>
    <w:rsid w:val="00D83371"/>
    <w:rsid w:val="00D8526A"/>
    <w:rsid w:val="00D90477"/>
    <w:rsid w:val="00D932D4"/>
    <w:rsid w:val="00DA082B"/>
    <w:rsid w:val="00DB092E"/>
    <w:rsid w:val="00DB2DFD"/>
    <w:rsid w:val="00DB62C6"/>
    <w:rsid w:val="00DB7831"/>
    <w:rsid w:val="00DD3887"/>
    <w:rsid w:val="00DD4F39"/>
    <w:rsid w:val="00DD50EF"/>
    <w:rsid w:val="00DD5CDF"/>
    <w:rsid w:val="00DD6D4B"/>
    <w:rsid w:val="00DD758E"/>
    <w:rsid w:val="00DE7D53"/>
    <w:rsid w:val="00DF2C93"/>
    <w:rsid w:val="00DF6FD3"/>
    <w:rsid w:val="00E05399"/>
    <w:rsid w:val="00E07E37"/>
    <w:rsid w:val="00E147EE"/>
    <w:rsid w:val="00E1520F"/>
    <w:rsid w:val="00E1611C"/>
    <w:rsid w:val="00E16EE7"/>
    <w:rsid w:val="00E17F54"/>
    <w:rsid w:val="00E20C5B"/>
    <w:rsid w:val="00E217C0"/>
    <w:rsid w:val="00E22504"/>
    <w:rsid w:val="00E325C4"/>
    <w:rsid w:val="00E3641A"/>
    <w:rsid w:val="00E43A08"/>
    <w:rsid w:val="00E51009"/>
    <w:rsid w:val="00E53C8F"/>
    <w:rsid w:val="00E54185"/>
    <w:rsid w:val="00E546FF"/>
    <w:rsid w:val="00E54867"/>
    <w:rsid w:val="00E5580A"/>
    <w:rsid w:val="00E56FB9"/>
    <w:rsid w:val="00E57023"/>
    <w:rsid w:val="00E5712C"/>
    <w:rsid w:val="00E6587E"/>
    <w:rsid w:val="00E66B06"/>
    <w:rsid w:val="00E67A45"/>
    <w:rsid w:val="00E71696"/>
    <w:rsid w:val="00E724D1"/>
    <w:rsid w:val="00E72691"/>
    <w:rsid w:val="00E82733"/>
    <w:rsid w:val="00E83EA0"/>
    <w:rsid w:val="00E84866"/>
    <w:rsid w:val="00E86F51"/>
    <w:rsid w:val="00E974A2"/>
    <w:rsid w:val="00EA0A96"/>
    <w:rsid w:val="00EA3A92"/>
    <w:rsid w:val="00EA5F69"/>
    <w:rsid w:val="00EB55D6"/>
    <w:rsid w:val="00EC20D6"/>
    <w:rsid w:val="00EC487E"/>
    <w:rsid w:val="00EC4E34"/>
    <w:rsid w:val="00ED196C"/>
    <w:rsid w:val="00ED2E24"/>
    <w:rsid w:val="00ED59F9"/>
    <w:rsid w:val="00ED6635"/>
    <w:rsid w:val="00ED6C99"/>
    <w:rsid w:val="00EE3565"/>
    <w:rsid w:val="00EE65D5"/>
    <w:rsid w:val="00F01475"/>
    <w:rsid w:val="00F112C0"/>
    <w:rsid w:val="00F255AB"/>
    <w:rsid w:val="00F26057"/>
    <w:rsid w:val="00F30C27"/>
    <w:rsid w:val="00F32E24"/>
    <w:rsid w:val="00F40227"/>
    <w:rsid w:val="00F41E34"/>
    <w:rsid w:val="00F42FFD"/>
    <w:rsid w:val="00F5046B"/>
    <w:rsid w:val="00F50C9D"/>
    <w:rsid w:val="00F5278C"/>
    <w:rsid w:val="00F537A0"/>
    <w:rsid w:val="00F55B8D"/>
    <w:rsid w:val="00F57A4D"/>
    <w:rsid w:val="00F63000"/>
    <w:rsid w:val="00F642BA"/>
    <w:rsid w:val="00F729A1"/>
    <w:rsid w:val="00F73958"/>
    <w:rsid w:val="00F762B5"/>
    <w:rsid w:val="00F76BEE"/>
    <w:rsid w:val="00F77C6C"/>
    <w:rsid w:val="00F77EF8"/>
    <w:rsid w:val="00F81D42"/>
    <w:rsid w:val="00F90356"/>
    <w:rsid w:val="00F9300D"/>
    <w:rsid w:val="00F95512"/>
    <w:rsid w:val="00F97331"/>
    <w:rsid w:val="00FA02A8"/>
    <w:rsid w:val="00FA34C3"/>
    <w:rsid w:val="00FA4969"/>
    <w:rsid w:val="00FA5223"/>
    <w:rsid w:val="00FB1800"/>
    <w:rsid w:val="00FB5810"/>
    <w:rsid w:val="00FC078A"/>
    <w:rsid w:val="00FC6C38"/>
    <w:rsid w:val="00FC6FF0"/>
    <w:rsid w:val="00FC7170"/>
    <w:rsid w:val="00FD1826"/>
    <w:rsid w:val="00FD1EAD"/>
    <w:rsid w:val="00FD5B13"/>
    <w:rsid w:val="00FE0A41"/>
    <w:rsid w:val="00FE1AAA"/>
    <w:rsid w:val="00FE457B"/>
    <w:rsid w:val="00FE4C34"/>
    <w:rsid w:val="00FE6DA1"/>
    <w:rsid w:val="00FF0E68"/>
    <w:rsid w:val="00FF18C8"/>
    <w:rsid w:val="00FF3C53"/>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 w:type="paragraph" w:styleId="Normlnweb">
    <w:name w:val="Normal (Web)"/>
    <w:basedOn w:val="Normln"/>
    <w:uiPriority w:val="99"/>
    <w:semiHidden/>
    <w:unhideWhenUsed/>
    <w:rsid w:val="001919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rina.dobesova@homecredi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2073647381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homecreditczsk-my.sharepoint.com/personal/jaroslav_ondrusek_homecredit_cz/Documents/Desktop/Pl&#225;n%20investic_PR%20v&#253;zku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b="1"/>
              <a:t>Plánované dražší investice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Celá ČR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7"/>
                <c:pt idx="0">
                  <c:v>Dražší dovolená</c:v>
                </c:pt>
                <c:pt idx="1">
                  <c:v>Rekonstrukce domácnosti</c:v>
                </c:pt>
                <c:pt idx="2">
                  <c:v>Vybavení domácnosti </c:v>
                </c:pt>
                <c:pt idx="3">
                  <c:v>Elektronika </c:v>
                </c:pt>
                <c:pt idx="4">
                  <c:v>Vzdělávání, kurz</c:v>
                </c:pt>
                <c:pt idx="5">
                  <c:v>Koupě nemovitosti</c:v>
                </c:pt>
                <c:pt idx="6">
                  <c:v>Koupě auta</c:v>
                </c:pt>
              </c:strCache>
            </c:strRef>
          </c:cat>
          <c:val>
            <c:numRef>
              <c:f>List1!$B$2:$B$8</c:f>
              <c:numCache>
                <c:formatCode>0</c:formatCode>
                <c:ptCount val="7"/>
                <c:pt idx="0">
                  <c:v>12.295869356388</c:v>
                </c:pt>
                <c:pt idx="1">
                  <c:v>13.928914505283</c:v>
                </c:pt>
                <c:pt idx="2">
                  <c:v>13.928914505283</c:v>
                </c:pt>
                <c:pt idx="3">
                  <c:v>7.6849183477425997</c:v>
                </c:pt>
                <c:pt idx="4">
                  <c:v>5.4755043227666</c:v>
                </c:pt>
                <c:pt idx="5">
                  <c:v>4.8991354466859001</c:v>
                </c:pt>
                <c:pt idx="6">
                  <c:v>8.9337175792507004</c:v>
                </c:pt>
              </c:numCache>
            </c:numRef>
          </c:val>
          <c:extLst>
            <c:ext xmlns:c16="http://schemas.microsoft.com/office/drawing/2014/chart" uri="{C3380CC4-5D6E-409C-BE32-E72D297353CC}">
              <c16:uniqueId val="{00000000-4D98-40AE-A2EF-BB6905B5C213}"/>
            </c:ext>
          </c:extLst>
        </c:ser>
        <c:ser>
          <c:idx val="1"/>
          <c:order val="1"/>
          <c:tx>
            <c:strRef>
              <c:f>List1!$C$1</c:f>
              <c:strCache>
                <c:ptCount val="1"/>
                <c:pt idx="0">
                  <c:v>Praha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7"/>
                <c:pt idx="0">
                  <c:v>Dražší dovolená</c:v>
                </c:pt>
                <c:pt idx="1">
                  <c:v>Rekonstrukce domácnosti</c:v>
                </c:pt>
                <c:pt idx="2">
                  <c:v>Vybavení domácnosti </c:v>
                </c:pt>
                <c:pt idx="3">
                  <c:v>Elektronika </c:v>
                </c:pt>
                <c:pt idx="4">
                  <c:v>Vzdělávání, kurz</c:v>
                </c:pt>
                <c:pt idx="5">
                  <c:v>Koupě nemovitosti</c:v>
                </c:pt>
                <c:pt idx="6">
                  <c:v>Koupě auta</c:v>
                </c:pt>
              </c:strCache>
            </c:strRef>
          </c:cat>
          <c:val>
            <c:numRef>
              <c:f>List1!$C$2:$C$8</c:f>
              <c:numCache>
                <c:formatCode>0</c:formatCode>
                <c:ptCount val="7"/>
                <c:pt idx="0">
                  <c:v>21.12676056338</c:v>
                </c:pt>
                <c:pt idx="1">
                  <c:v>11.971830985915</c:v>
                </c:pt>
                <c:pt idx="2">
                  <c:v>11.267605633803001</c:v>
                </c:pt>
                <c:pt idx="3">
                  <c:v>9.1549295774648005</c:v>
                </c:pt>
                <c:pt idx="4">
                  <c:v>8.4507042253520996</c:v>
                </c:pt>
                <c:pt idx="5">
                  <c:v>6.3380281690141</c:v>
                </c:pt>
                <c:pt idx="6">
                  <c:v>4.9295774647887001</c:v>
                </c:pt>
              </c:numCache>
            </c:numRef>
          </c:val>
          <c:extLst>
            <c:ext xmlns:c16="http://schemas.microsoft.com/office/drawing/2014/chart" uri="{C3380CC4-5D6E-409C-BE32-E72D297353CC}">
              <c16:uniqueId val="{00000001-4D98-40AE-A2EF-BB6905B5C213}"/>
            </c:ext>
          </c:extLst>
        </c:ser>
        <c:ser>
          <c:idx val="2"/>
          <c:order val="2"/>
          <c:tx>
            <c:strRef>
              <c:f>List1!$D$1</c:f>
              <c:strCache>
                <c:ptCount val="1"/>
                <c:pt idx="0">
                  <c:v>Čechy bez Prahy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7"/>
                <c:pt idx="0">
                  <c:v>Dražší dovolená</c:v>
                </c:pt>
                <c:pt idx="1">
                  <c:v>Rekonstrukce domácnosti</c:v>
                </c:pt>
                <c:pt idx="2">
                  <c:v>Vybavení domácnosti </c:v>
                </c:pt>
                <c:pt idx="3">
                  <c:v>Elektronika </c:v>
                </c:pt>
                <c:pt idx="4">
                  <c:v>Vzdělávání, kurz</c:v>
                </c:pt>
                <c:pt idx="5">
                  <c:v>Koupě nemovitosti</c:v>
                </c:pt>
                <c:pt idx="6">
                  <c:v>Koupě auta</c:v>
                </c:pt>
              </c:strCache>
            </c:strRef>
          </c:cat>
          <c:val>
            <c:numRef>
              <c:f>List1!$D$2:$D$8</c:f>
              <c:numCache>
                <c:formatCode>0</c:formatCode>
                <c:ptCount val="7"/>
                <c:pt idx="0">
                  <c:v>11.861313868612999</c:v>
                </c:pt>
                <c:pt idx="1">
                  <c:v>15.693430656934</c:v>
                </c:pt>
                <c:pt idx="2">
                  <c:v>15.693430656934</c:v>
                </c:pt>
                <c:pt idx="3">
                  <c:v>8.2116788321167995</c:v>
                </c:pt>
                <c:pt idx="4">
                  <c:v>4.5620437956203999</c:v>
                </c:pt>
                <c:pt idx="5">
                  <c:v>5.1094890510948998</c:v>
                </c:pt>
                <c:pt idx="6">
                  <c:v>10.036496350365001</c:v>
                </c:pt>
              </c:numCache>
            </c:numRef>
          </c:val>
          <c:extLst>
            <c:ext xmlns:c16="http://schemas.microsoft.com/office/drawing/2014/chart" uri="{C3380CC4-5D6E-409C-BE32-E72D297353CC}">
              <c16:uniqueId val="{00000002-4D98-40AE-A2EF-BB6905B5C213}"/>
            </c:ext>
          </c:extLst>
        </c:ser>
        <c:ser>
          <c:idx val="3"/>
          <c:order val="3"/>
          <c:tx>
            <c:strRef>
              <c:f>List1!$E$1</c:f>
              <c:strCache>
                <c:ptCount val="1"/>
                <c:pt idx="0">
                  <c:v>Morava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List1!$A$2:$A$8</c:f>
              <c:strCache>
                <c:ptCount val="7"/>
                <c:pt idx="0">
                  <c:v>Dražší dovolená</c:v>
                </c:pt>
                <c:pt idx="1">
                  <c:v>Rekonstrukce domácnosti</c:v>
                </c:pt>
                <c:pt idx="2">
                  <c:v>Vybavení domácnosti </c:v>
                </c:pt>
                <c:pt idx="3">
                  <c:v>Elektronika </c:v>
                </c:pt>
                <c:pt idx="4">
                  <c:v>Vzdělávání, kurz</c:v>
                </c:pt>
                <c:pt idx="5">
                  <c:v>Koupě nemovitosti</c:v>
                </c:pt>
                <c:pt idx="6">
                  <c:v>Koupě auta</c:v>
                </c:pt>
              </c:strCache>
            </c:strRef>
          </c:cat>
          <c:val>
            <c:numRef>
              <c:f>List1!$E$2:$E$8</c:f>
              <c:numCache>
                <c:formatCode>0</c:formatCode>
                <c:ptCount val="7"/>
                <c:pt idx="0">
                  <c:v>9.4017094017094003</c:v>
                </c:pt>
                <c:pt idx="1">
                  <c:v>11.965811965812</c:v>
                </c:pt>
                <c:pt idx="2">
                  <c:v>12.250712250712001</c:v>
                </c:pt>
                <c:pt idx="3">
                  <c:v>6.2678062678063</c:v>
                </c:pt>
                <c:pt idx="4">
                  <c:v>5.6980056980056997</c:v>
                </c:pt>
                <c:pt idx="5">
                  <c:v>3.9886039886039999</c:v>
                </c:pt>
                <c:pt idx="6">
                  <c:v>8.8319088319087999</c:v>
                </c:pt>
              </c:numCache>
            </c:numRef>
          </c:val>
          <c:extLst>
            <c:ext xmlns:c16="http://schemas.microsoft.com/office/drawing/2014/chart" uri="{C3380CC4-5D6E-409C-BE32-E72D297353CC}">
              <c16:uniqueId val="{00000003-4D98-40AE-A2EF-BB6905B5C213}"/>
            </c:ext>
          </c:extLst>
        </c:ser>
        <c:dLbls>
          <c:showLegendKey val="0"/>
          <c:showVal val="0"/>
          <c:showCatName val="0"/>
          <c:showSerName val="0"/>
          <c:showPercent val="0"/>
          <c:showBubbleSize val="0"/>
        </c:dLbls>
        <c:gapWidth val="182"/>
        <c:axId val="730870960"/>
        <c:axId val="730870240"/>
      </c:barChart>
      <c:catAx>
        <c:axId val="73087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30870240"/>
        <c:crosses val="autoZero"/>
        <c:auto val="1"/>
        <c:lblAlgn val="ctr"/>
        <c:lblOffset val="100"/>
        <c:noMultiLvlLbl val="0"/>
      </c:catAx>
      <c:valAx>
        <c:axId val="730870240"/>
        <c:scaling>
          <c:orientation val="minMax"/>
        </c:scaling>
        <c:delete val="1"/>
        <c:axPos val="l"/>
        <c:numFmt formatCode="0" sourceLinked="1"/>
        <c:majorTickMark val="none"/>
        <c:minorTickMark val="none"/>
        <c:tickLblPos val="nextTo"/>
        <c:crossAx val="73087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Props1.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2.xml><?xml version="1.0" encoding="utf-8"?>
<ds:datastoreItem xmlns:ds="http://schemas.openxmlformats.org/officeDocument/2006/customXml" ds:itemID="{5278E10B-AE6C-47BE-822C-D825C546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889</Words>
  <Characters>5247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 | CrestCommunications a.s.</cp:lastModifiedBy>
  <cp:revision>4</cp:revision>
  <dcterms:created xsi:type="dcterms:W3CDTF">2026-06-01T12:38:00Z</dcterms:created>
  <dcterms:modified xsi:type="dcterms:W3CDTF">2026-06-01T12:43:00Z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