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B162" w14:textId="462A2131" w:rsidR="00233D1C" w:rsidRPr="00233D1C" w:rsidRDefault="00233D1C" w:rsidP="00233D1C">
      <w:pPr>
        <w:jc w:val="right"/>
        <w:rPr>
          <w:rFonts w:ascii="Arial" w:hAnsi="Arial" w:cs="Arial"/>
        </w:rPr>
      </w:pPr>
      <w:r w:rsidRPr="00233D1C">
        <w:rPr>
          <w:rFonts w:ascii="Arial" w:hAnsi="Arial" w:cs="Arial"/>
          <w:noProof/>
        </w:rPr>
        <w:drawing>
          <wp:inline distT="0" distB="0" distL="0" distR="0" wp14:anchorId="742FEBF9" wp14:editId="297C9D4C">
            <wp:extent cx="1749425" cy="717744"/>
            <wp:effectExtent l="0" t="0" r="3175" b="6350"/>
            <wp:docPr id="29906042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421" cy="729640"/>
                    </a:xfrm>
                    <a:prstGeom prst="rect">
                      <a:avLst/>
                    </a:prstGeom>
                    <a:noFill/>
                    <a:ln>
                      <a:noFill/>
                    </a:ln>
                  </pic:spPr>
                </pic:pic>
              </a:graphicData>
            </a:graphic>
          </wp:inline>
        </w:drawing>
      </w:r>
    </w:p>
    <w:p w14:paraId="6B7DC606" w14:textId="77777777" w:rsidR="00AE1E21" w:rsidRDefault="00AE1E21" w:rsidP="00AE1E21">
      <w:pPr>
        <w:jc w:val="right"/>
        <w:rPr>
          <w:rFonts w:ascii="Arial" w:hAnsi="Arial" w:cs="Arial"/>
          <w:lang w:val="cs-CZ"/>
        </w:rPr>
      </w:pPr>
    </w:p>
    <w:p w14:paraId="4A513C21" w14:textId="77777777" w:rsidR="00C637C3" w:rsidRPr="00AE1E21" w:rsidRDefault="00C637C3" w:rsidP="00AE1E21">
      <w:pPr>
        <w:jc w:val="right"/>
        <w:rPr>
          <w:rFonts w:ascii="Arial" w:hAnsi="Arial" w:cs="Arial"/>
          <w:lang w:val="cs-CZ"/>
        </w:rPr>
      </w:pPr>
    </w:p>
    <w:p w14:paraId="75E4F744" w14:textId="42BB3207" w:rsidR="00AE1E21" w:rsidRPr="00C300A4" w:rsidRDefault="00AE1E21" w:rsidP="00AE1E21">
      <w:pPr>
        <w:rPr>
          <w:rFonts w:ascii="Arial" w:hAnsi="Arial" w:cs="Arial"/>
          <w:sz w:val="28"/>
          <w:szCs w:val="28"/>
          <w:lang w:val="cs-CZ"/>
        </w:rPr>
      </w:pPr>
      <w:r w:rsidRPr="00C300A4">
        <w:rPr>
          <w:rFonts w:ascii="Arial" w:hAnsi="Arial" w:cs="Arial"/>
          <w:sz w:val="28"/>
          <w:szCs w:val="28"/>
          <w:lang w:val="cs-CZ"/>
        </w:rPr>
        <w:t>TISKOVÁ ZPRÁVA</w:t>
      </w:r>
    </w:p>
    <w:p w14:paraId="65169DF2" w14:textId="77777777" w:rsidR="00AE1E21" w:rsidRPr="00C300A4" w:rsidRDefault="00AE1E21" w:rsidP="00AE1E21">
      <w:pPr>
        <w:rPr>
          <w:rFonts w:ascii="Arial" w:hAnsi="Arial" w:cs="Arial"/>
          <w:sz w:val="28"/>
          <w:szCs w:val="28"/>
          <w:lang w:val="cs-CZ"/>
        </w:rPr>
      </w:pPr>
    </w:p>
    <w:p w14:paraId="5E6B31C8" w14:textId="3F572119" w:rsidR="00B424F7" w:rsidRDefault="00FE2DEB" w:rsidP="00A70A79">
      <w:pPr>
        <w:jc w:val="both"/>
        <w:rPr>
          <w:rFonts w:ascii="Arial" w:hAnsi="Arial" w:cs="Arial"/>
          <w:sz w:val="36"/>
          <w:szCs w:val="36"/>
          <w:lang w:val="cs-CZ"/>
        </w:rPr>
      </w:pPr>
      <w:r w:rsidRPr="00FE2DEB">
        <w:rPr>
          <w:rFonts w:ascii="Arial" w:hAnsi="Arial" w:cs="Arial"/>
          <w:sz w:val="36"/>
          <w:szCs w:val="36"/>
          <w:lang w:val="cs-CZ"/>
        </w:rPr>
        <w:t xml:space="preserve">Nemovitostní fond CASPYAN má za sebou úspěšný </w:t>
      </w:r>
      <w:r w:rsidR="001D1187">
        <w:rPr>
          <w:rFonts w:ascii="Arial" w:hAnsi="Arial" w:cs="Arial"/>
          <w:sz w:val="36"/>
          <w:szCs w:val="36"/>
          <w:lang w:val="cs-CZ"/>
        </w:rPr>
        <w:t xml:space="preserve">první </w:t>
      </w:r>
      <w:r w:rsidRPr="00FE2DEB">
        <w:rPr>
          <w:rFonts w:ascii="Arial" w:hAnsi="Arial" w:cs="Arial"/>
          <w:sz w:val="36"/>
          <w:szCs w:val="36"/>
          <w:lang w:val="cs-CZ"/>
        </w:rPr>
        <w:t>rok</w:t>
      </w:r>
      <w:r w:rsidR="001D1187">
        <w:rPr>
          <w:rFonts w:ascii="Arial" w:hAnsi="Arial" w:cs="Arial"/>
          <w:sz w:val="36"/>
          <w:szCs w:val="36"/>
          <w:lang w:val="cs-CZ"/>
        </w:rPr>
        <w:t>.</w:t>
      </w:r>
      <w:r w:rsidR="00746525">
        <w:rPr>
          <w:rFonts w:ascii="Arial" w:hAnsi="Arial" w:cs="Arial"/>
          <w:sz w:val="36"/>
          <w:szCs w:val="36"/>
          <w:lang w:val="cs-CZ"/>
        </w:rPr>
        <w:t xml:space="preserve"> </w:t>
      </w:r>
      <w:r w:rsidR="00875116">
        <w:rPr>
          <w:rFonts w:ascii="Arial" w:hAnsi="Arial" w:cs="Arial"/>
          <w:sz w:val="36"/>
          <w:szCs w:val="36"/>
          <w:lang w:val="cs-CZ"/>
        </w:rPr>
        <w:t>Překročil milník</w:t>
      </w:r>
      <w:r w:rsidRPr="00FE2DEB">
        <w:rPr>
          <w:rFonts w:ascii="Arial" w:hAnsi="Arial" w:cs="Arial"/>
          <w:sz w:val="36"/>
          <w:szCs w:val="36"/>
          <w:lang w:val="cs-CZ"/>
        </w:rPr>
        <w:t xml:space="preserve"> </w:t>
      </w:r>
      <w:r w:rsidR="00875116" w:rsidRPr="00FE2DEB">
        <w:rPr>
          <w:rFonts w:ascii="Arial" w:hAnsi="Arial" w:cs="Arial"/>
          <w:sz w:val="36"/>
          <w:szCs w:val="36"/>
          <w:lang w:val="cs-CZ"/>
        </w:rPr>
        <w:t>1</w:t>
      </w:r>
      <w:r w:rsidR="00875116">
        <w:rPr>
          <w:rFonts w:ascii="Arial" w:hAnsi="Arial" w:cs="Arial"/>
          <w:sz w:val="36"/>
          <w:szCs w:val="36"/>
          <w:lang w:val="cs-CZ"/>
        </w:rPr>
        <w:t>0</w:t>
      </w:r>
      <w:r w:rsidR="00875116" w:rsidRPr="00FE2DEB">
        <w:rPr>
          <w:rFonts w:ascii="Arial" w:hAnsi="Arial" w:cs="Arial"/>
          <w:sz w:val="36"/>
          <w:szCs w:val="36"/>
          <w:lang w:val="cs-CZ"/>
        </w:rPr>
        <w:t xml:space="preserve">0 </w:t>
      </w:r>
      <w:r w:rsidRPr="00FE2DEB">
        <w:rPr>
          <w:rFonts w:ascii="Arial" w:hAnsi="Arial" w:cs="Arial"/>
          <w:sz w:val="36"/>
          <w:szCs w:val="36"/>
          <w:lang w:val="cs-CZ"/>
        </w:rPr>
        <w:t>milionů korun</w:t>
      </w:r>
      <w:r w:rsidR="00875116">
        <w:rPr>
          <w:rFonts w:ascii="Arial" w:hAnsi="Arial" w:cs="Arial"/>
          <w:sz w:val="36"/>
          <w:szCs w:val="36"/>
          <w:lang w:val="cs-CZ"/>
        </w:rPr>
        <w:t xml:space="preserve"> od investorů</w:t>
      </w:r>
    </w:p>
    <w:p w14:paraId="30FEC462" w14:textId="22F11441" w:rsidR="00AE1E21" w:rsidRDefault="00B22A1E" w:rsidP="00737DF6">
      <w:pPr>
        <w:spacing w:after="0"/>
        <w:contextualSpacing/>
        <w:jc w:val="both"/>
        <w:rPr>
          <w:rFonts w:ascii="Arial" w:hAnsi="Arial" w:cs="Arial"/>
          <w:lang w:val="cs-CZ"/>
        </w:rPr>
      </w:pPr>
      <w:r>
        <w:rPr>
          <w:rFonts w:ascii="Arial" w:hAnsi="Arial" w:cs="Arial"/>
          <w:lang w:val="cs-CZ"/>
        </w:rPr>
        <w:br/>
      </w:r>
      <w:r w:rsidR="00AE1E21" w:rsidRPr="000B4F7D">
        <w:rPr>
          <w:rFonts w:ascii="Arial" w:hAnsi="Arial" w:cs="Arial"/>
          <w:lang w:val="cs-CZ"/>
        </w:rPr>
        <w:t xml:space="preserve">Praha, </w:t>
      </w:r>
      <w:r w:rsidR="000B4F7D" w:rsidRPr="000B4F7D">
        <w:rPr>
          <w:rFonts w:ascii="Arial" w:hAnsi="Arial" w:cs="Arial"/>
          <w:lang w:val="cs-CZ"/>
        </w:rPr>
        <w:t xml:space="preserve">11. </w:t>
      </w:r>
      <w:r w:rsidR="00FE2DEB" w:rsidRPr="000B4F7D">
        <w:rPr>
          <w:rFonts w:ascii="Arial" w:hAnsi="Arial" w:cs="Arial"/>
          <w:lang w:val="cs-CZ"/>
        </w:rPr>
        <w:t>června</w:t>
      </w:r>
      <w:r w:rsidR="00AE1E21" w:rsidRPr="000B4F7D">
        <w:rPr>
          <w:rFonts w:ascii="Arial" w:hAnsi="Arial" w:cs="Arial"/>
          <w:lang w:val="cs-CZ"/>
        </w:rPr>
        <w:t xml:space="preserve"> 202</w:t>
      </w:r>
      <w:r w:rsidR="00FE2DEB" w:rsidRPr="000B4F7D">
        <w:rPr>
          <w:rFonts w:ascii="Arial" w:hAnsi="Arial" w:cs="Arial"/>
          <w:lang w:val="cs-CZ"/>
        </w:rPr>
        <w:t>6</w:t>
      </w:r>
    </w:p>
    <w:p w14:paraId="6BE0A045" w14:textId="2499DC0F" w:rsidR="002A03AD" w:rsidRDefault="00AE1E21" w:rsidP="00737DF6">
      <w:pPr>
        <w:spacing w:after="0"/>
        <w:contextualSpacing/>
        <w:jc w:val="both"/>
        <w:rPr>
          <w:rFonts w:ascii="Arial" w:hAnsi="Arial" w:cs="Arial"/>
          <w:lang w:val="cs-CZ"/>
        </w:rPr>
      </w:pPr>
      <w:r w:rsidRPr="00AE1E21">
        <w:rPr>
          <w:rFonts w:ascii="Arial" w:hAnsi="Arial" w:cs="Arial"/>
          <w:lang w:val="cs-CZ"/>
        </w:rPr>
        <w:br/>
      </w:r>
      <w:r w:rsidR="001B308F" w:rsidRPr="001B308F">
        <w:rPr>
          <w:rFonts w:ascii="Arial" w:hAnsi="Arial" w:cs="Arial"/>
          <w:lang w:val="cs-CZ"/>
        </w:rPr>
        <w:t>CASPYAN FUND SICAV, fond pro kvalifikované investory, zveřejnil své hospodářské výsledky za loňský rok. Ten představoval první plné kalendářní období této entity, která nyní bilancuje klíčovou fázi svého fungování. Podfondu RE/MIX se podařilo potvrdit nastavenou strategii a</w:t>
      </w:r>
      <w:r w:rsidR="000A097A">
        <w:rPr>
          <w:rFonts w:ascii="Arial" w:hAnsi="Arial" w:cs="Arial"/>
          <w:lang w:val="cs-CZ"/>
        </w:rPr>
        <w:t> </w:t>
      </w:r>
      <w:r w:rsidR="001B308F" w:rsidRPr="001B308F">
        <w:rPr>
          <w:rFonts w:ascii="Arial" w:hAnsi="Arial" w:cs="Arial"/>
          <w:lang w:val="cs-CZ"/>
        </w:rPr>
        <w:t>úspěšně přejít z fáze zakladatelského financování k otevřenému tržnímu modelu. Od desítek nových spoluinvestorů v něm shromáždil přes 100 milionů korun a v nastaveném růstovém trendu pokračuje i leto</w:t>
      </w:r>
      <w:r w:rsidR="00701EE0">
        <w:rPr>
          <w:rFonts w:ascii="Arial" w:hAnsi="Arial" w:cs="Arial"/>
          <w:lang w:val="cs-CZ"/>
        </w:rPr>
        <w:t xml:space="preserve">s. </w:t>
      </w:r>
    </w:p>
    <w:p w14:paraId="4BD9ACA9" w14:textId="6B7D53AA" w:rsidR="001251C1" w:rsidRDefault="001251C1" w:rsidP="00737DF6">
      <w:pPr>
        <w:spacing w:after="0"/>
        <w:contextualSpacing/>
        <w:jc w:val="both"/>
        <w:rPr>
          <w:rFonts w:ascii="Arial" w:hAnsi="Arial" w:cs="Arial"/>
          <w:lang w:val="cs-CZ"/>
        </w:rPr>
      </w:pPr>
    </w:p>
    <w:p w14:paraId="17714438" w14:textId="20855990" w:rsidR="000054E1" w:rsidRPr="000054E1" w:rsidRDefault="000054E1" w:rsidP="1BA82DDF">
      <w:pPr>
        <w:spacing w:after="0"/>
        <w:contextualSpacing/>
        <w:jc w:val="both"/>
        <w:rPr>
          <w:rFonts w:ascii="Arial" w:hAnsi="Arial" w:cs="Arial"/>
          <w:b/>
          <w:bCs/>
          <w:lang w:val="cs-CZ"/>
        </w:rPr>
      </w:pPr>
      <w:r w:rsidRPr="000054E1">
        <w:rPr>
          <w:rFonts w:ascii="Arial" w:hAnsi="Arial" w:cs="Arial"/>
          <w:b/>
          <w:bCs/>
          <w:lang w:val="cs-CZ"/>
        </w:rPr>
        <w:t>Překonan</w:t>
      </w:r>
      <w:r w:rsidR="00F77522">
        <w:rPr>
          <w:rFonts w:ascii="Arial" w:hAnsi="Arial" w:cs="Arial"/>
          <w:b/>
          <w:bCs/>
          <w:lang w:val="cs-CZ"/>
        </w:rPr>
        <w:t>á</w:t>
      </w:r>
      <w:r w:rsidRPr="000054E1">
        <w:rPr>
          <w:rFonts w:ascii="Arial" w:hAnsi="Arial" w:cs="Arial"/>
          <w:b/>
          <w:bCs/>
          <w:lang w:val="cs-CZ"/>
        </w:rPr>
        <w:t xml:space="preserve"> </w:t>
      </w:r>
      <w:r>
        <w:rPr>
          <w:rFonts w:ascii="Arial" w:hAnsi="Arial" w:cs="Arial"/>
          <w:b/>
          <w:bCs/>
          <w:lang w:val="cs-CZ"/>
        </w:rPr>
        <w:t xml:space="preserve">meta </w:t>
      </w:r>
      <w:r w:rsidRPr="000054E1">
        <w:rPr>
          <w:rFonts w:ascii="Arial" w:hAnsi="Arial" w:cs="Arial"/>
          <w:b/>
          <w:bCs/>
          <w:lang w:val="cs-CZ"/>
        </w:rPr>
        <w:t>zhodnocení a růst aktiv nad 463 milionů korun</w:t>
      </w:r>
    </w:p>
    <w:p w14:paraId="2F058E8E" w14:textId="551B610B" w:rsidR="000054E1" w:rsidRDefault="000054E1" w:rsidP="1BA82DDF">
      <w:pPr>
        <w:spacing w:after="0"/>
        <w:contextualSpacing/>
        <w:jc w:val="both"/>
        <w:rPr>
          <w:rFonts w:ascii="Arial" w:hAnsi="Arial" w:cs="Arial"/>
          <w:lang w:val="cs-CZ"/>
        </w:rPr>
      </w:pPr>
      <w:r w:rsidRPr="000054E1">
        <w:rPr>
          <w:rFonts w:ascii="Arial" w:hAnsi="Arial" w:cs="Arial"/>
          <w:lang w:val="cs-CZ"/>
        </w:rPr>
        <w:t>V průběhu kalendářního roku 2025 fond CASPYAN potvrdil</w:t>
      </w:r>
      <w:r w:rsidR="00F95BCA">
        <w:rPr>
          <w:rFonts w:ascii="Arial" w:hAnsi="Arial" w:cs="Arial"/>
          <w:lang w:val="cs-CZ"/>
        </w:rPr>
        <w:t xml:space="preserve">, </w:t>
      </w:r>
      <w:r w:rsidR="00847E35">
        <w:rPr>
          <w:rFonts w:ascii="Arial" w:hAnsi="Arial" w:cs="Arial"/>
          <w:lang w:val="cs-CZ"/>
        </w:rPr>
        <w:t>že usiluje o</w:t>
      </w:r>
      <w:r w:rsidRPr="000054E1">
        <w:rPr>
          <w:rFonts w:ascii="Arial" w:hAnsi="Arial" w:cs="Arial"/>
          <w:lang w:val="cs-CZ"/>
        </w:rPr>
        <w:t xml:space="preserve"> pevnou pozici v</w:t>
      </w:r>
      <w:r w:rsidR="000A097A">
        <w:rPr>
          <w:rFonts w:ascii="Arial" w:hAnsi="Arial" w:cs="Arial"/>
          <w:lang w:val="cs-CZ"/>
        </w:rPr>
        <w:t> </w:t>
      </w:r>
      <w:r w:rsidRPr="000054E1">
        <w:rPr>
          <w:rFonts w:ascii="Arial" w:hAnsi="Arial" w:cs="Arial"/>
          <w:lang w:val="cs-CZ"/>
        </w:rPr>
        <w:t>segmentu prémiových nemovitostních fondů. Jeho strategie efektivně kombinuje dva zdroje – hlavní</w:t>
      </w:r>
      <w:r w:rsidR="00847E35">
        <w:rPr>
          <w:rFonts w:ascii="Arial" w:hAnsi="Arial" w:cs="Arial"/>
          <w:lang w:val="cs-CZ"/>
        </w:rPr>
        <w:t xml:space="preserve">m motorem růstu </w:t>
      </w:r>
      <w:r w:rsidR="00F97CCF">
        <w:rPr>
          <w:rFonts w:ascii="Arial" w:hAnsi="Arial" w:cs="Arial"/>
          <w:lang w:val="cs-CZ"/>
        </w:rPr>
        <w:t xml:space="preserve">jsou </w:t>
      </w:r>
      <w:r w:rsidR="00C25E5C">
        <w:rPr>
          <w:rFonts w:ascii="Arial" w:hAnsi="Arial" w:cs="Arial"/>
          <w:lang w:val="cs-CZ"/>
        </w:rPr>
        <w:t xml:space="preserve">rezidenční </w:t>
      </w:r>
      <w:r w:rsidR="00F97CCF">
        <w:rPr>
          <w:rFonts w:ascii="Arial" w:hAnsi="Arial" w:cs="Arial"/>
          <w:lang w:val="cs-CZ"/>
        </w:rPr>
        <w:t xml:space="preserve">developerské </w:t>
      </w:r>
      <w:r w:rsidR="00C25E5C">
        <w:rPr>
          <w:rFonts w:ascii="Arial" w:hAnsi="Arial" w:cs="Arial"/>
          <w:lang w:val="cs-CZ"/>
        </w:rPr>
        <w:t xml:space="preserve">projekty, </w:t>
      </w:r>
      <w:r w:rsidR="00F97CCF">
        <w:rPr>
          <w:rFonts w:ascii="Arial" w:hAnsi="Arial" w:cs="Arial"/>
          <w:lang w:val="cs-CZ"/>
        </w:rPr>
        <w:t>které jsou</w:t>
      </w:r>
      <w:r w:rsidRPr="000054E1">
        <w:rPr>
          <w:rFonts w:ascii="Arial" w:hAnsi="Arial" w:cs="Arial"/>
          <w:lang w:val="cs-CZ"/>
        </w:rPr>
        <w:t xml:space="preserve"> </w:t>
      </w:r>
      <w:r w:rsidR="00C25E5C">
        <w:rPr>
          <w:rFonts w:ascii="Arial" w:hAnsi="Arial" w:cs="Arial"/>
          <w:lang w:val="cs-CZ"/>
        </w:rPr>
        <w:t xml:space="preserve">doplněné </w:t>
      </w:r>
      <w:r w:rsidR="00F97CCF">
        <w:rPr>
          <w:rFonts w:ascii="Arial" w:hAnsi="Arial" w:cs="Arial"/>
          <w:lang w:val="cs-CZ"/>
        </w:rPr>
        <w:t>několika výnosovými objekty</w:t>
      </w:r>
      <w:r w:rsidRPr="000054E1">
        <w:rPr>
          <w:rFonts w:ascii="Arial" w:hAnsi="Arial" w:cs="Arial"/>
          <w:lang w:val="cs-CZ"/>
        </w:rPr>
        <w:t>. Čistá hodnota aktiv v současnosti činí přes 463 mil. Kč. Díky tomuto modelu se podfondu RE/MIX podařilo v minulém roce</w:t>
      </w:r>
      <w:r w:rsidR="00847E35">
        <w:rPr>
          <w:rFonts w:ascii="Arial" w:hAnsi="Arial" w:cs="Arial"/>
          <w:lang w:val="cs-CZ"/>
        </w:rPr>
        <w:t xml:space="preserve"> výrazně</w:t>
      </w:r>
      <w:r w:rsidRPr="000054E1">
        <w:rPr>
          <w:rFonts w:ascii="Arial" w:hAnsi="Arial" w:cs="Arial"/>
          <w:lang w:val="cs-CZ"/>
        </w:rPr>
        <w:t xml:space="preserve"> překonat stanovený cíl 10</w:t>
      </w:r>
      <w:r w:rsidR="000A097A">
        <w:rPr>
          <w:rFonts w:ascii="Arial" w:hAnsi="Arial" w:cs="Arial"/>
          <w:lang w:val="cs-CZ"/>
        </w:rPr>
        <w:t> </w:t>
      </w:r>
      <w:r w:rsidRPr="000054E1">
        <w:rPr>
          <w:rFonts w:ascii="Arial" w:hAnsi="Arial" w:cs="Arial"/>
          <w:lang w:val="cs-CZ"/>
        </w:rPr>
        <w:t>%</w:t>
      </w:r>
      <w:r w:rsidR="000A097A">
        <w:rPr>
          <w:rFonts w:ascii="Arial" w:hAnsi="Arial" w:cs="Arial"/>
          <w:lang w:val="cs-CZ"/>
        </w:rPr>
        <w:t> </w:t>
      </w:r>
      <w:r w:rsidRPr="000054E1">
        <w:rPr>
          <w:rFonts w:ascii="Arial" w:hAnsi="Arial" w:cs="Arial"/>
          <w:lang w:val="cs-CZ"/>
        </w:rPr>
        <w:t>p.a. a</w:t>
      </w:r>
      <w:r>
        <w:rPr>
          <w:rFonts w:ascii="Arial" w:hAnsi="Arial" w:cs="Arial"/>
          <w:lang w:val="cs-CZ"/>
        </w:rPr>
        <w:t> </w:t>
      </w:r>
      <w:r w:rsidR="00847E35">
        <w:rPr>
          <w:rFonts w:ascii="Arial" w:hAnsi="Arial" w:cs="Arial"/>
          <w:lang w:val="cs-CZ"/>
        </w:rPr>
        <w:t>věří</w:t>
      </w:r>
      <w:r w:rsidR="00620CE8">
        <w:rPr>
          <w:rFonts w:ascii="Arial" w:hAnsi="Arial" w:cs="Arial"/>
          <w:lang w:val="cs-CZ"/>
        </w:rPr>
        <w:t>,</w:t>
      </w:r>
      <w:r w:rsidR="00847E35">
        <w:rPr>
          <w:rFonts w:ascii="Arial" w:hAnsi="Arial" w:cs="Arial"/>
          <w:lang w:val="cs-CZ"/>
        </w:rPr>
        <w:t xml:space="preserve"> </w:t>
      </w:r>
      <w:r w:rsidR="00620CE8">
        <w:rPr>
          <w:rFonts w:ascii="Arial" w:hAnsi="Arial" w:cs="Arial"/>
          <w:lang w:val="cs-CZ"/>
        </w:rPr>
        <w:t>ž</w:t>
      </w:r>
      <w:r w:rsidR="00847E35">
        <w:rPr>
          <w:rFonts w:ascii="Arial" w:hAnsi="Arial" w:cs="Arial"/>
          <w:lang w:val="cs-CZ"/>
        </w:rPr>
        <w:t>e v tomto</w:t>
      </w:r>
      <w:r w:rsidRPr="000054E1">
        <w:rPr>
          <w:rFonts w:ascii="Arial" w:hAnsi="Arial" w:cs="Arial"/>
          <w:lang w:val="cs-CZ"/>
        </w:rPr>
        <w:t xml:space="preserve"> trendu </w:t>
      </w:r>
      <w:r w:rsidR="00847E35">
        <w:rPr>
          <w:rFonts w:ascii="Arial" w:hAnsi="Arial" w:cs="Arial"/>
          <w:lang w:val="cs-CZ"/>
        </w:rPr>
        <w:t>bude</w:t>
      </w:r>
      <w:r w:rsidRPr="000054E1">
        <w:rPr>
          <w:rFonts w:ascii="Arial" w:hAnsi="Arial" w:cs="Arial"/>
          <w:lang w:val="cs-CZ"/>
        </w:rPr>
        <w:t xml:space="preserve"> pokračovat i nadále.</w:t>
      </w:r>
    </w:p>
    <w:p w14:paraId="217DF03D" w14:textId="77777777" w:rsidR="001251C1" w:rsidRDefault="001251C1" w:rsidP="00737DF6">
      <w:pPr>
        <w:spacing w:after="0"/>
        <w:contextualSpacing/>
        <w:jc w:val="both"/>
        <w:rPr>
          <w:rFonts w:ascii="Arial" w:hAnsi="Arial" w:cs="Arial"/>
          <w:lang w:val="cs-CZ"/>
        </w:rPr>
      </w:pPr>
    </w:p>
    <w:p w14:paraId="5CE86B0C" w14:textId="7B533A3D" w:rsidR="002A03AD" w:rsidRDefault="625B2413" w:rsidP="55E81D25">
      <w:pPr>
        <w:spacing w:after="0"/>
        <w:contextualSpacing/>
        <w:jc w:val="both"/>
        <w:rPr>
          <w:rFonts w:ascii="Arial" w:hAnsi="Arial" w:cs="Arial"/>
          <w:lang w:val="cs-CZ"/>
        </w:rPr>
      </w:pPr>
      <w:r w:rsidRPr="55E81D25">
        <w:rPr>
          <w:rFonts w:ascii="Arial" w:hAnsi="Arial" w:cs="Arial"/>
          <w:lang w:val="cs-CZ"/>
        </w:rPr>
        <w:t xml:space="preserve">Zásadním milníkem loňského roku se stalo otevření fondu externímu kapitálu. </w:t>
      </w:r>
      <w:r w:rsidR="009E7906">
        <w:rPr>
          <w:rFonts w:ascii="Arial" w:hAnsi="Arial" w:cs="Arial"/>
          <w:lang w:val="cs-CZ"/>
        </w:rPr>
        <w:t>Z</w:t>
      </w:r>
      <w:r w:rsidRPr="55E81D25">
        <w:rPr>
          <w:rFonts w:ascii="Arial" w:hAnsi="Arial" w:cs="Arial"/>
          <w:lang w:val="cs-CZ"/>
        </w:rPr>
        <w:t xml:space="preserve">akladatelé </w:t>
      </w:r>
      <w:r w:rsidR="058065B7" w:rsidRPr="55E81D25">
        <w:rPr>
          <w:rFonts w:ascii="Arial" w:hAnsi="Arial" w:cs="Arial"/>
          <w:lang w:val="cs-CZ"/>
        </w:rPr>
        <w:t xml:space="preserve">Kamil Jankovský a </w:t>
      </w:r>
      <w:r w:rsidR="259C7860" w:rsidRPr="55E81D25">
        <w:rPr>
          <w:rFonts w:ascii="Arial" w:hAnsi="Arial" w:cs="Arial"/>
          <w:lang w:val="cs-CZ"/>
        </w:rPr>
        <w:t xml:space="preserve">Miroslav </w:t>
      </w:r>
      <w:r w:rsidRPr="55E81D25">
        <w:rPr>
          <w:rFonts w:ascii="Arial" w:hAnsi="Arial" w:cs="Arial"/>
          <w:lang w:val="cs-CZ"/>
        </w:rPr>
        <w:t>Kašpar</w:t>
      </w:r>
      <w:r w:rsidR="058065B7" w:rsidRPr="55E81D25">
        <w:rPr>
          <w:rFonts w:ascii="Arial" w:hAnsi="Arial" w:cs="Arial"/>
          <w:lang w:val="cs-CZ"/>
        </w:rPr>
        <w:t xml:space="preserve"> </w:t>
      </w:r>
      <w:r w:rsidRPr="55E81D25">
        <w:rPr>
          <w:rFonts w:ascii="Arial" w:hAnsi="Arial" w:cs="Arial"/>
          <w:lang w:val="cs-CZ"/>
        </w:rPr>
        <w:t xml:space="preserve">přivítali nové partnery z řad kvalifikovaných investorů. Získané finanční prostředky fond </w:t>
      </w:r>
      <w:r w:rsidR="2AF0C0CE" w:rsidRPr="55E81D25">
        <w:rPr>
          <w:rFonts w:ascii="Arial" w:hAnsi="Arial" w:cs="Arial"/>
          <w:lang w:val="cs-CZ"/>
        </w:rPr>
        <w:t xml:space="preserve">bezprostředně </w:t>
      </w:r>
      <w:r w:rsidRPr="55E81D25">
        <w:rPr>
          <w:rFonts w:ascii="Arial" w:hAnsi="Arial" w:cs="Arial"/>
          <w:lang w:val="cs-CZ"/>
        </w:rPr>
        <w:t xml:space="preserve">vložil do </w:t>
      </w:r>
      <w:r w:rsidR="2ECA567B" w:rsidRPr="55E81D25">
        <w:rPr>
          <w:rFonts w:ascii="Arial" w:hAnsi="Arial" w:cs="Arial"/>
          <w:lang w:val="cs-CZ"/>
        </w:rPr>
        <w:t xml:space="preserve">akcelerace </w:t>
      </w:r>
      <w:r w:rsidRPr="55E81D25">
        <w:rPr>
          <w:rFonts w:ascii="Arial" w:hAnsi="Arial" w:cs="Arial"/>
          <w:lang w:val="cs-CZ"/>
        </w:rPr>
        <w:t>stavebních příprav a</w:t>
      </w:r>
      <w:r w:rsidR="000054E1">
        <w:rPr>
          <w:rFonts w:ascii="Arial" w:hAnsi="Arial" w:cs="Arial"/>
          <w:lang w:val="cs-CZ"/>
        </w:rPr>
        <w:t> </w:t>
      </w:r>
      <w:r w:rsidRPr="55E81D25">
        <w:rPr>
          <w:rFonts w:ascii="Arial" w:hAnsi="Arial" w:cs="Arial"/>
          <w:lang w:val="cs-CZ"/>
        </w:rPr>
        <w:t>samotné výstavby v metropoli.</w:t>
      </w:r>
    </w:p>
    <w:p w14:paraId="1B01E30C" w14:textId="77777777" w:rsidR="007A0620" w:rsidRDefault="007A0620" w:rsidP="00737DF6">
      <w:pPr>
        <w:spacing w:after="0"/>
        <w:contextualSpacing/>
        <w:jc w:val="both"/>
        <w:rPr>
          <w:rFonts w:ascii="Arial" w:hAnsi="Arial" w:cs="Arial"/>
          <w:lang w:val="cs-CZ"/>
        </w:rPr>
      </w:pPr>
    </w:p>
    <w:p w14:paraId="1FC168CC" w14:textId="440AC92D" w:rsidR="00780AF5" w:rsidRPr="0010623C" w:rsidRDefault="00780AF5" w:rsidP="00780AF5">
      <w:pPr>
        <w:spacing w:after="0"/>
        <w:contextualSpacing/>
        <w:jc w:val="both"/>
        <w:rPr>
          <w:rFonts w:ascii="Arial" w:hAnsi="Arial" w:cs="Arial"/>
          <w:i/>
          <w:iCs/>
          <w:lang w:val="cs-CZ"/>
        </w:rPr>
      </w:pPr>
      <w:r w:rsidRPr="00780AF5">
        <w:rPr>
          <w:rFonts w:ascii="Arial" w:hAnsi="Arial" w:cs="Arial"/>
          <w:i/>
          <w:iCs/>
          <w:lang w:val="cs-CZ"/>
        </w:rPr>
        <w:t>„</w:t>
      </w:r>
      <w:r w:rsidR="00B84DA1" w:rsidRPr="00B84DA1">
        <w:rPr>
          <w:rFonts w:ascii="Arial" w:hAnsi="Arial" w:cs="Arial"/>
          <w:i/>
          <w:iCs/>
          <w:lang w:val="cs-CZ"/>
        </w:rPr>
        <w:t>Založit a úspěšně rozběhnout nový nemovitostní fond na vysoce konkurenčním českém trhu</w:t>
      </w:r>
      <w:r w:rsidR="00B70C80">
        <w:rPr>
          <w:rFonts w:ascii="Arial" w:hAnsi="Arial" w:cs="Arial"/>
          <w:i/>
          <w:iCs/>
          <w:lang w:val="cs-CZ"/>
        </w:rPr>
        <w:t xml:space="preserve"> bylo velmi náročné</w:t>
      </w:r>
      <w:r w:rsidR="00E856BD">
        <w:rPr>
          <w:rFonts w:ascii="Arial" w:hAnsi="Arial" w:cs="Arial"/>
          <w:i/>
          <w:iCs/>
          <w:lang w:val="cs-CZ"/>
        </w:rPr>
        <w:t>:</w:t>
      </w:r>
      <w:r w:rsidR="00B84DA1" w:rsidRPr="00B84DA1">
        <w:rPr>
          <w:rFonts w:ascii="Arial" w:hAnsi="Arial" w:cs="Arial"/>
          <w:i/>
          <w:iCs/>
          <w:lang w:val="cs-CZ"/>
        </w:rPr>
        <w:t xml:space="preserve"> </w:t>
      </w:r>
      <w:r w:rsidR="00E856BD">
        <w:rPr>
          <w:rFonts w:ascii="Arial" w:hAnsi="Arial" w:cs="Arial"/>
          <w:i/>
          <w:iCs/>
          <w:lang w:val="cs-CZ"/>
        </w:rPr>
        <w:t>c</w:t>
      </w:r>
      <w:r w:rsidR="00B84DA1" w:rsidRPr="00B84DA1">
        <w:rPr>
          <w:rFonts w:ascii="Arial" w:hAnsi="Arial" w:cs="Arial"/>
          <w:i/>
          <w:iCs/>
          <w:lang w:val="cs-CZ"/>
        </w:rPr>
        <w:t>elý proces vyžadoval obrovské úsilí, precizní přípravu projektů, a</w:t>
      </w:r>
      <w:r w:rsidR="00E856BD">
        <w:rPr>
          <w:rFonts w:ascii="Arial" w:hAnsi="Arial" w:cs="Arial"/>
          <w:i/>
          <w:iCs/>
          <w:lang w:val="cs-CZ"/>
        </w:rPr>
        <w:t> </w:t>
      </w:r>
      <w:r w:rsidR="00B84DA1" w:rsidRPr="00B84DA1">
        <w:rPr>
          <w:rFonts w:ascii="Arial" w:hAnsi="Arial" w:cs="Arial"/>
          <w:i/>
          <w:iCs/>
          <w:lang w:val="cs-CZ"/>
        </w:rPr>
        <w:t>především získání počáteční důvěry spoluinvestorů.</w:t>
      </w:r>
      <w:r w:rsidR="00B84DA1">
        <w:rPr>
          <w:rFonts w:ascii="Arial" w:hAnsi="Arial" w:cs="Arial"/>
          <w:i/>
          <w:iCs/>
          <w:lang w:val="cs-CZ"/>
        </w:rPr>
        <w:t xml:space="preserve"> </w:t>
      </w:r>
      <w:r w:rsidRPr="00780AF5">
        <w:rPr>
          <w:rFonts w:ascii="Arial" w:hAnsi="Arial" w:cs="Arial"/>
          <w:i/>
          <w:iCs/>
          <w:lang w:val="cs-CZ"/>
        </w:rPr>
        <w:t>Jsem hrdý na to, že se nám start podařil na jedničku. To, že se k nám připojili noví partneři, jasně dokazuje, že naše sázka na</w:t>
      </w:r>
      <w:r w:rsidR="000054E1">
        <w:rPr>
          <w:rFonts w:ascii="Arial" w:hAnsi="Arial" w:cs="Arial"/>
          <w:i/>
          <w:iCs/>
          <w:lang w:val="cs-CZ"/>
        </w:rPr>
        <w:t> </w:t>
      </w:r>
      <w:r w:rsidRPr="00780AF5">
        <w:rPr>
          <w:rFonts w:ascii="Arial" w:hAnsi="Arial" w:cs="Arial"/>
          <w:i/>
          <w:iCs/>
          <w:lang w:val="cs-CZ"/>
        </w:rPr>
        <w:t xml:space="preserve">transparentnost a prémiové pražské lokality byla správná. </w:t>
      </w:r>
      <w:r w:rsidR="00B84DA1" w:rsidRPr="00B84DA1">
        <w:rPr>
          <w:rFonts w:ascii="Arial" w:hAnsi="Arial" w:cs="Arial"/>
          <w:i/>
          <w:iCs/>
          <w:lang w:val="cs-CZ"/>
        </w:rPr>
        <w:t>Když se dnes ohlédnu zpět, mohu</w:t>
      </w:r>
      <w:r w:rsidR="00174ED3">
        <w:rPr>
          <w:rFonts w:ascii="Arial" w:hAnsi="Arial" w:cs="Arial"/>
          <w:i/>
          <w:iCs/>
          <w:lang w:val="cs-CZ"/>
        </w:rPr>
        <w:t xml:space="preserve"> </w:t>
      </w:r>
      <w:r w:rsidR="009E7906" w:rsidRPr="00B84DA1">
        <w:rPr>
          <w:rFonts w:ascii="Arial" w:hAnsi="Arial" w:cs="Arial"/>
          <w:i/>
          <w:iCs/>
          <w:lang w:val="cs-CZ"/>
        </w:rPr>
        <w:t>říct</w:t>
      </w:r>
      <w:r w:rsidR="00B84DA1" w:rsidRPr="00B84DA1">
        <w:rPr>
          <w:rFonts w:ascii="Arial" w:hAnsi="Arial" w:cs="Arial"/>
          <w:i/>
          <w:iCs/>
          <w:lang w:val="cs-CZ"/>
        </w:rPr>
        <w:t>, že jsme za uplynulý rok vybudovali zdravou a</w:t>
      </w:r>
      <w:r w:rsidR="00F304AD">
        <w:rPr>
          <w:rFonts w:ascii="Arial" w:hAnsi="Arial" w:cs="Arial"/>
          <w:i/>
          <w:iCs/>
          <w:lang w:val="cs-CZ"/>
        </w:rPr>
        <w:t> </w:t>
      </w:r>
      <w:r w:rsidR="00B84DA1" w:rsidRPr="00B84DA1">
        <w:rPr>
          <w:rFonts w:ascii="Arial" w:hAnsi="Arial" w:cs="Arial"/>
          <w:i/>
          <w:iCs/>
          <w:lang w:val="cs-CZ"/>
        </w:rPr>
        <w:t>dynamickou komunitu</w:t>
      </w:r>
      <w:r w:rsidR="00CD7D26">
        <w:rPr>
          <w:rFonts w:ascii="Arial" w:hAnsi="Arial" w:cs="Arial"/>
          <w:i/>
          <w:iCs/>
          <w:lang w:val="cs-CZ"/>
        </w:rPr>
        <w:t>.</w:t>
      </w:r>
      <w:r w:rsidR="00502104">
        <w:rPr>
          <w:rFonts w:ascii="Arial" w:hAnsi="Arial" w:cs="Arial"/>
          <w:i/>
          <w:iCs/>
          <w:lang w:val="cs-CZ"/>
        </w:rPr>
        <w:t xml:space="preserve"> Abychom mohli společně růst</w:t>
      </w:r>
      <w:r w:rsidR="0020718F">
        <w:rPr>
          <w:rFonts w:ascii="Arial" w:hAnsi="Arial" w:cs="Arial"/>
          <w:i/>
          <w:iCs/>
          <w:lang w:val="cs-CZ"/>
        </w:rPr>
        <w:t>, rádi ve fondu přivítáme</w:t>
      </w:r>
      <w:r w:rsidR="0010623C">
        <w:rPr>
          <w:rFonts w:ascii="Arial" w:hAnsi="Arial" w:cs="Arial"/>
          <w:i/>
          <w:iCs/>
          <w:lang w:val="cs-CZ"/>
        </w:rPr>
        <w:t xml:space="preserve"> další spoluinvestory</w:t>
      </w:r>
      <w:r w:rsidRPr="00780AF5">
        <w:rPr>
          <w:rFonts w:ascii="Arial" w:hAnsi="Arial" w:cs="Arial"/>
          <w:i/>
          <w:iCs/>
          <w:lang w:val="cs-CZ"/>
        </w:rPr>
        <w:t>,“</w:t>
      </w:r>
      <w:r w:rsidRPr="001D1187">
        <w:rPr>
          <w:rFonts w:ascii="Arial" w:hAnsi="Arial" w:cs="Arial"/>
          <w:lang w:val="cs-CZ"/>
        </w:rPr>
        <w:t xml:space="preserve"> </w:t>
      </w:r>
      <w:r w:rsidRPr="00763263">
        <w:rPr>
          <w:rFonts w:ascii="Arial" w:hAnsi="Arial" w:cs="Arial"/>
          <w:lang w:val="cs-CZ"/>
        </w:rPr>
        <w:t>uvádí</w:t>
      </w:r>
      <w:r w:rsidRPr="00780AF5">
        <w:rPr>
          <w:rFonts w:ascii="Arial" w:hAnsi="Arial" w:cs="Arial"/>
          <w:b/>
          <w:bCs/>
          <w:lang w:val="cs-CZ"/>
        </w:rPr>
        <w:t xml:space="preserve"> Kamil Jankovský, člen dozorčí rady fondu CASPYAN</w:t>
      </w:r>
      <w:r w:rsidRPr="001D1187">
        <w:rPr>
          <w:rFonts w:ascii="Arial" w:hAnsi="Arial" w:cs="Arial"/>
          <w:lang w:val="cs-CZ"/>
        </w:rPr>
        <w:t>.</w:t>
      </w:r>
    </w:p>
    <w:p w14:paraId="3A11BEC1" w14:textId="77777777" w:rsidR="00780AF5" w:rsidRDefault="00780AF5" w:rsidP="00780AF5">
      <w:pPr>
        <w:spacing w:after="0"/>
        <w:contextualSpacing/>
        <w:jc w:val="both"/>
        <w:rPr>
          <w:rFonts w:ascii="Arial" w:hAnsi="Arial" w:cs="Arial"/>
          <w:lang w:val="cs-CZ"/>
        </w:rPr>
      </w:pPr>
    </w:p>
    <w:p w14:paraId="735A1425" w14:textId="77777777" w:rsidR="005161E7" w:rsidRDefault="005161E7" w:rsidP="009B6839">
      <w:pPr>
        <w:spacing w:after="0"/>
        <w:contextualSpacing/>
        <w:jc w:val="both"/>
        <w:rPr>
          <w:rFonts w:ascii="Arial" w:hAnsi="Arial" w:cs="Arial"/>
          <w:b/>
          <w:bCs/>
          <w:lang w:val="cs-CZ"/>
        </w:rPr>
      </w:pPr>
      <w:r w:rsidRPr="005161E7">
        <w:rPr>
          <w:rFonts w:ascii="Arial" w:hAnsi="Arial" w:cs="Arial"/>
          <w:b/>
          <w:bCs/>
          <w:lang w:val="cs-CZ"/>
        </w:rPr>
        <w:t>Vlajková loď v Karlíně a cíl 600 bytů</w:t>
      </w:r>
    </w:p>
    <w:p w14:paraId="2E46A917" w14:textId="7F1A9E90" w:rsidR="00C555A5" w:rsidRDefault="00C555A5" w:rsidP="009B6839">
      <w:pPr>
        <w:spacing w:after="0"/>
        <w:contextualSpacing/>
        <w:jc w:val="both"/>
        <w:rPr>
          <w:rFonts w:ascii="Arial" w:hAnsi="Arial" w:cs="Arial"/>
          <w:lang w:val="cs-CZ"/>
        </w:rPr>
      </w:pPr>
      <w:r w:rsidRPr="00C555A5">
        <w:rPr>
          <w:rFonts w:ascii="Arial" w:hAnsi="Arial" w:cs="Arial"/>
          <w:lang w:val="cs-CZ"/>
        </w:rPr>
        <w:t>Aktuálně fond naplno rozvíjí své nemovitostní portfolio v čele s projektem Konstanta Karlín v</w:t>
      </w:r>
      <w:r w:rsidR="000054E1">
        <w:rPr>
          <w:rFonts w:ascii="Arial" w:hAnsi="Arial" w:cs="Arial"/>
          <w:lang w:val="cs-CZ"/>
        </w:rPr>
        <w:t> </w:t>
      </w:r>
      <w:r w:rsidRPr="00C555A5">
        <w:rPr>
          <w:rFonts w:ascii="Arial" w:hAnsi="Arial" w:cs="Arial"/>
          <w:lang w:val="cs-CZ"/>
        </w:rPr>
        <w:t xml:space="preserve">jedné z nejžádanějších pražských čtvrtí. Nový objekt bude rozčleněn do dvou částí </w:t>
      </w:r>
      <w:r w:rsidRPr="00C555A5">
        <w:rPr>
          <w:rFonts w:ascii="Arial" w:hAnsi="Arial" w:cs="Arial"/>
          <w:lang w:val="cs-CZ"/>
        </w:rPr>
        <w:lastRenderedPageBreak/>
        <w:t>propojených průchozí pasáží, která spojí ulici Kollárova se zahradou ve vnitrobloku</w:t>
      </w:r>
      <w:r w:rsidR="00F97CCF">
        <w:rPr>
          <w:rFonts w:ascii="Arial" w:hAnsi="Arial" w:cs="Arial"/>
          <w:lang w:val="cs-CZ"/>
        </w:rPr>
        <w:t xml:space="preserve"> a</w:t>
      </w:r>
      <w:r w:rsidRPr="00C555A5">
        <w:rPr>
          <w:rFonts w:ascii="Arial" w:hAnsi="Arial" w:cs="Arial"/>
          <w:lang w:val="cs-CZ"/>
        </w:rPr>
        <w:t xml:space="preserve"> </w:t>
      </w:r>
      <w:r w:rsidR="00F97CCF">
        <w:rPr>
          <w:rFonts w:ascii="Arial" w:hAnsi="Arial" w:cs="Arial"/>
          <w:lang w:val="cs-CZ"/>
        </w:rPr>
        <w:t>n</w:t>
      </w:r>
      <w:r w:rsidRPr="00C555A5">
        <w:rPr>
          <w:rFonts w:ascii="Arial" w:hAnsi="Arial" w:cs="Arial"/>
          <w:lang w:val="cs-CZ"/>
        </w:rPr>
        <w:t xml:space="preserve">abídne </w:t>
      </w:r>
      <w:r w:rsidR="00F35309">
        <w:rPr>
          <w:rFonts w:ascii="Arial" w:hAnsi="Arial" w:cs="Arial"/>
          <w:lang w:val="cs-CZ"/>
        </w:rPr>
        <w:t>zejména</w:t>
      </w:r>
      <w:r w:rsidR="00F97CCF">
        <w:rPr>
          <w:rFonts w:ascii="Arial" w:hAnsi="Arial" w:cs="Arial"/>
          <w:lang w:val="cs-CZ"/>
        </w:rPr>
        <w:t xml:space="preserve"> prémiové </w:t>
      </w:r>
      <w:r w:rsidRPr="00C555A5">
        <w:rPr>
          <w:rFonts w:ascii="Arial" w:hAnsi="Arial" w:cs="Arial"/>
          <w:lang w:val="cs-CZ"/>
        </w:rPr>
        <w:t>bydlení</w:t>
      </w:r>
      <w:r w:rsidR="00F97CCF">
        <w:rPr>
          <w:rFonts w:ascii="Arial" w:hAnsi="Arial" w:cs="Arial"/>
          <w:lang w:val="cs-CZ"/>
        </w:rPr>
        <w:t xml:space="preserve"> doplněné o</w:t>
      </w:r>
      <w:r w:rsidRPr="00C555A5">
        <w:rPr>
          <w:rFonts w:ascii="Arial" w:hAnsi="Arial" w:cs="Arial"/>
          <w:lang w:val="cs-CZ"/>
        </w:rPr>
        <w:t xml:space="preserve"> komerční prostory</w:t>
      </w:r>
      <w:r w:rsidR="00F97CCF">
        <w:rPr>
          <w:rFonts w:ascii="Arial" w:hAnsi="Arial" w:cs="Arial"/>
          <w:lang w:val="cs-CZ"/>
        </w:rPr>
        <w:t>.</w:t>
      </w:r>
    </w:p>
    <w:p w14:paraId="58647F5E" w14:textId="77777777" w:rsidR="00C555A5" w:rsidRDefault="00C555A5" w:rsidP="009B6839">
      <w:pPr>
        <w:spacing w:after="0"/>
        <w:contextualSpacing/>
        <w:jc w:val="both"/>
        <w:rPr>
          <w:rFonts w:ascii="Arial" w:hAnsi="Arial" w:cs="Arial"/>
          <w:lang w:val="cs-CZ"/>
        </w:rPr>
      </w:pPr>
    </w:p>
    <w:p w14:paraId="64D3F1E7" w14:textId="3D6DD3B4" w:rsidR="00F97CCF" w:rsidRDefault="00C555A5" w:rsidP="009B6839">
      <w:pPr>
        <w:spacing w:after="0"/>
        <w:contextualSpacing/>
        <w:jc w:val="both"/>
        <w:rPr>
          <w:rFonts w:ascii="Arial" w:hAnsi="Arial" w:cs="Arial"/>
          <w:lang w:val="cs-CZ"/>
        </w:rPr>
      </w:pPr>
      <w:r w:rsidRPr="00C555A5">
        <w:rPr>
          <w:rFonts w:ascii="Arial" w:hAnsi="Arial" w:cs="Arial"/>
          <w:lang w:val="cs-CZ"/>
        </w:rPr>
        <w:t>Portfolio fondu</w:t>
      </w:r>
      <w:r w:rsidR="00F97CCF">
        <w:rPr>
          <w:rFonts w:ascii="Arial" w:hAnsi="Arial" w:cs="Arial"/>
          <w:lang w:val="cs-CZ"/>
        </w:rPr>
        <w:t xml:space="preserve"> v Karlíně</w:t>
      </w:r>
      <w:r w:rsidRPr="00C555A5">
        <w:rPr>
          <w:rFonts w:ascii="Arial" w:hAnsi="Arial" w:cs="Arial"/>
          <w:lang w:val="cs-CZ"/>
        </w:rPr>
        <w:t xml:space="preserve"> zahrnuje i další </w:t>
      </w:r>
      <w:r w:rsidR="00F97CCF">
        <w:rPr>
          <w:rFonts w:ascii="Arial" w:hAnsi="Arial" w:cs="Arial"/>
          <w:lang w:val="cs-CZ"/>
        </w:rPr>
        <w:t>objekty</w:t>
      </w:r>
      <w:r w:rsidRPr="00C555A5">
        <w:rPr>
          <w:rFonts w:ascii="Arial" w:hAnsi="Arial" w:cs="Arial"/>
          <w:lang w:val="cs-CZ"/>
        </w:rPr>
        <w:t>. Příkladem je již dokončená administrativní budova Fabrička, která vznikla citlivou přestavbou bývalé parní elektrárny spojené s</w:t>
      </w:r>
      <w:r w:rsidR="000A097A">
        <w:rPr>
          <w:rFonts w:ascii="Arial" w:hAnsi="Arial" w:cs="Arial"/>
          <w:lang w:val="cs-CZ"/>
        </w:rPr>
        <w:t> </w:t>
      </w:r>
      <w:r w:rsidRPr="00C555A5">
        <w:rPr>
          <w:rFonts w:ascii="Arial" w:hAnsi="Arial" w:cs="Arial"/>
          <w:lang w:val="cs-CZ"/>
        </w:rPr>
        <w:t>průkopníkem české elektrotechniky Františkem Křižíkem</w:t>
      </w:r>
      <w:r w:rsidR="00F97CCF">
        <w:rPr>
          <w:rFonts w:ascii="Arial" w:hAnsi="Arial" w:cs="Arial"/>
          <w:lang w:val="cs-CZ"/>
        </w:rPr>
        <w:t xml:space="preserve">, nebo </w:t>
      </w:r>
      <w:r w:rsidRPr="00C555A5">
        <w:rPr>
          <w:rFonts w:ascii="Arial" w:hAnsi="Arial" w:cs="Arial"/>
          <w:lang w:val="cs-CZ"/>
        </w:rPr>
        <w:t>pavlačový dům v</w:t>
      </w:r>
      <w:r w:rsidR="000054E1">
        <w:rPr>
          <w:rFonts w:ascii="Arial" w:hAnsi="Arial" w:cs="Arial"/>
          <w:lang w:val="cs-CZ"/>
        </w:rPr>
        <w:t> </w:t>
      </w:r>
      <w:r w:rsidRPr="00C555A5">
        <w:rPr>
          <w:rFonts w:ascii="Arial" w:hAnsi="Arial" w:cs="Arial"/>
          <w:lang w:val="cs-CZ"/>
        </w:rPr>
        <w:t>ulici Kollárova</w:t>
      </w:r>
      <w:r w:rsidR="00F97CCF">
        <w:rPr>
          <w:rFonts w:ascii="Arial" w:hAnsi="Arial" w:cs="Arial"/>
          <w:lang w:val="cs-CZ"/>
        </w:rPr>
        <w:t>, který je dlouhodobě pronajímán</w:t>
      </w:r>
      <w:r w:rsidRPr="00C555A5">
        <w:rPr>
          <w:rFonts w:ascii="Arial" w:hAnsi="Arial" w:cs="Arial"/>
          <w:lang w:val="cs-CZ"/>
        </w:rPr>
        <w:t>.</w:t>
      </w:r>
      <w:r>
        <w:rPr>
          <w:rFonts w:ascii="Arial" w:hAnsi="Arial" w:cs="Arial"/>
          <w:lang w:val="cs-CZ"/>
        </w:rPr>
        <w:t xml:space="preserve"> </w:t>
      </w:r>
    </w:p>
    <w:p w14:paraId="03A026B1" w14:textId="77777777" w:rsidR="00F97CCF" w:rsidRDefault="00F97CCF" w:rsidP="009B6839">
      <w:pPr>
        <w:spacing w:after="0"/>
        <w:contextualSpacing/>
        <w:jc w:val="both"/>
        <w:rPr>
          <w:rFonts w:ascii="Arial" w:hAnsi="Arial" w:cs="Arial"/>
          <w:lang w:val="cs-CZ"/>
        </w:rPr>
      </w:pPr>
    </w:p>
    <w:p w14:paraId="12580E9A" w14:textId="22FFA30E" w:rsidR="00F97CCF" w:rsidRDefault="00F97CCF" w:rsidP="00F97CCF">
      <w:pPr>
        <w:spacing w:after="0"/>
        <w:contextualSpacing/>
        <w:jc w:val="both"/>
        <w:rPr>
          <w:rFonts w:ascii="Arial" w:hAnsi="Arial" w:cs="Arial"/>
          <w:lang w:val="cs-CZ"/>
        </w:rPr>
      </w:pPr>
      <w:r>
        <w:rPr>
          <w:rFonts w:ascii="Arial" w:hAnsi="Arial" w:cs="Arial"/>
          <w:lang w:val="cs-CZ"/>
        </w:rPr>
        <w:t>Nejv</w:t>
      </w:r>
      <w:r w:rsidR="00726AD0">
        <w:rPr>
          <w:rFonts w:ascii="Arial" w:hAnsi="Arial" w:cs="Arial"/>
          <w:lang w:val="cs-CZ"/>
        </w:rPr>
        <w:t>ě</w:t>
      </w:r>
      <w:r>
        <w:rPr>
          <w:rFonts w:ascii="Arial" w:hAnsi="Arial" w:cs="Arial"/>
          <w:lang w:val="cs-CZ"/>
        </w:rPr>
        <w:t xml:space="preserve">tší investicí fondu je účast na probíhající </w:t>
      </w:r>
      <w:r w:rsidR="00C555A5" w:rsidRPr="00C555A5">
        <w:rPr>
          <w:rFonts w:ascii="Arial" w:hAnsi="Arial" w:cs="Arial"/>
          <w:lang w:val="cs-CZ"/>
        </w:rPr>
        <w:t>rozsáh</w:t>
      </w:r>
      <w:r>
        <w:rPr>
          <w:rFonts w:ascii="Arial" w:hAnsi="Arial" w:cs="Arial"/>
          <w:lang w:val="cs-CZ"/>
        </w:rPr>
        <w:t>lé</w:t>
      </w:r>
      <w:r w:rsidR="00C555A5" w:rsidRPr="00C555A5">
        <w:rPr>
          <w:rFonts w:ascii="Arial" w:hAnsi="Arial" w:cs="Arial"/>
          <w:lang w:val="cs-CZ"/>
        </w:rPr>
        <w:t xml:space="preserve"> revitalizaci brownfieldu </w:t>
      </w:r>
      <w:r>
        <w:rPr>
          <w:rFonts w:ascii="Arial" w:hAnsi="Arial" w:cs="Arial"/>
          <w:lang w:val="cs-CZ"/>
        </w:rPr>
        <w:t>na</w:t>
      </w:r>
      <w:r w:rsidR="00C555A5" w:rsidRPr="00C555A5">
        <w:rPr>
          <w:rFonts w:ascii="Arial" w:hAnsi="Arial" w:cs="Arial"/>
          <w:lang w:val="cs-CZ"/>
        </w:rPr>
        <w:t xml:space="preserve"> Praze 9. Multifunkční projekt Dvory Vysočany, který zahrnuje byty, kanceláře i</w:t>
      </w:r>
      <w:r w:rsidR="000054E1">
        <w:rPr>
          <w:rFonts w:ascii="Arial" w:hAnsi="Arial" w:cs="Arial"/>
          <w:lang w:val="cs-CZ"/>
        </w:rPr>
        <w:t> </w:t>
      </w:r>
      <w:r w:rsidR="00C555A5" w:rsidRPr="00C555A5">
        <w:rPr>
          <w:rFonts w:ascii="Arial" w:hAnsi="Arial" w:cs="Arial"/>
          <w:lang w:val="cs-CZ"/>
        </w:rPr>
        <w:t xml:space="preserve">maloobchodní prostory, </w:t>
      </w:r>
      <w:r>
        <w:rPr>
          <w:rFonts w:ascii="Arial" w:hAnsi="Arial" w:cs="Arial"/>
          <w:lang w:val="cs-CZ"/>
        </w:rPr>
        <w:t xml:space="preserve">koncem minulého roku vstoupil do první etapy realizace. Cílem projektu je v této lokalitě </w:t>
      </w:r>
      <w:r w:rsidRPr="00C555A5">
        <w:rPr>
          <w:rFonts w:ascii="Arial" w:hAnsi="Arial" w:cs="Arial"/>
          <w:lang w:val="cs-CZ"/>
        </w:rPr>
        <w:t>vybudovat až 600 rezidenčních bytových jednotek.</w:t>
      </w:r>
    </w:p>
    <w:p w14:paraId="79D27685" w14:textId="5F16DAC1" w:rsidR="00C555A5" w:rsidRDefault="00C555A5" w:rsidP="009B6839">
      <w:pPr>
        <w:spacing w:after="0"/>
        <w:contextualSpacing/>
        <w:jc w:val="both"/>
        <w:rPr>
          <w:rFonts w:ascii="Arial" w:hAnsi="Arial" w:cs="Arial"/>
          <w:lang w:val="cs-CZ"/>
        </w:rPr>
      </w:pPr>
    </w:p>
    <w:p w14:paraId="775530A9" w14:textId="1EC9FC24" w:rsidR="000C095D" w:rsidRDefault="00C555A5" w:rsidP="009B6839">
      <w:pPr>
        <w:spacing w:after="0"/>
        <w:contextualSpacing/>
        <w:jc w:val="both"/>
        <w:rPr>
          <w:rFonts w:ascii="Arial" w:hAnsi="Arial" w:cs="Arial"/>
          <w:lang w:val="cs-CZ"/>
        </w:rPr>
      </w:pPr>
      <w:r w:rsidRPr="00C555A5">
        <w:rPr>
          <w:rFonts w:ascii="Arial" w:hAnsi="Arial" w:cs="Arial"/>
          <w:lang w:val="cs-CZ"/>
        </w:rPr>
        <w:t>Stabilní příliv nového kapitálu umož</w:t>
      </w:r>
      <w:r w:rsidR="007A6602">
        <w:rPr>
          <w:rFonts w:ascii="Arial" w:hAnsi="Arial" w:cs="Arial"/>
          <w:lang w:val="cs-CZ"/>
        </w:rPr>
        <w:t xml:space="preserve">ní </w:t>
      </w:r>
      <w:r w:rsidRPr="00C555A5">
        <w:rPr>
          <w:rFonts w:ascii="Arial" w:hAnsi="Arial" w:cs="Arial"/>
          <w:lang w:val="cs-CZ"/>
        </w:rPr>
        <w:t>fondu plánovat v nejbližších měsících další akvizice</w:t>
      </w:r>
      <w:r w:rsidR="004E3C11">
        <w:rPr>
          <w:rFonts w:ascii="Arial" w:hAnsi="Arial" w:cs="Arial"/>
          <w:lang w:val="cs-CZ"/>
        </w:rPr>
        <w:t xml:space="preserve"> pro</w:t>
      </w:r>
      <w:r w:rsidR="000A097A">
        <w:rPr>
          <w:rFonts w:ascii="Arial" w:hAnsi="Arial" w:cs="Arial"/>
          <w:lang w:val="cs-CZ"/>
        </w:rPr>
        <w:t> </w:t>
      </w:r>
      <w:r w:rsidR="004E3C11">
        <w:rPr>
          <w:rFonts w:ascii="Arial" w:hAnsi="Arial" w:cs="Arial"/>
          <w:lang w:val="cs-CZ"/>
        </w:rPr>
        <w:t>zajištění udržitelného růstu.</w:t>
      </w:r>
      <w:r w:rsidRPr="00C555A5">
        <w:rPr>
          <w:rFonts w:ascii="Arial" w:hAnsi="Arial" w:cs="Arial"/>
          <w:lang w:val="cs-CZ"/>
        </w:rPr>
        <w:t xml:space="preserve"> </w:t>
      </w:r>
    </w:p>
    <w:p w14:paraId="53D465A4" w14:textId="77777777" w:rsidR="00C555A5" w:rsidRDefault="00C555A5" w:rsidP="009B6839">
      <w:pPr>
        <w:spacing w:after="0"/>
        <w:contextualSpacing/>
        <w:jc w:val="both"/>
        <w:rPr>
          <w:rFonts w:ascii="Arial" w:hAnsi="Arial" w:cs="Arial"/>
          <w:lang w:val="cs-CZ"/>
        </w:rPr>
      </w:pPr>
    </w:p>
    <w:p w14:paraId="0592C4DA" w14:textId="0FC06247" w:rsidR="00827135" w:rsidRPr="00827135" w:rsidRDefault="00827135" w:rsidP="00827135">
      <w:pPr>
        <w:spacing w:after="0"/>
        <w:jc w:val="both"/>
        <w:rPr>
          <w:rFonts w:ascii="Arial" w:hAnsi="Arial" w:cs="Arial"/>
          <w:sz w:val="20"/>
          <w:szCs w:val="20"/>
          <w:u w:val="single"/>
          <w:lang w:val="cs-CZ"/>
        </w:rPr>
      </w:pPr>
      <w:r>
        <w:rPr>
          <w:rFonts w:ascii="Arial" w:hAnsi="Arial" w:cs="Arial"/>
          <w:sz w:val="20"/>
          <w:szCs w:val="20"/>
          <w:u w:val="single"/>
          <w:lang w:val="cs-CZ"/>
        </w:rPr>
        <w:t>Poznámka pro editory:</w:t>
      </w:r>
    </w:p>
    <w:p w14:paraId="79510298" w14:textId="4F554E4C" w:rsidR="00AE1E21" w:rsidRPr="00D22AB4" w:rsidRDefault="00922538" w:rsidP="00827135">
      <w:pPr>
        <w:spacing w:after="0"/>
        <w:jc w:val="both"/>
        <w:rPr>
          <w:rFonts w:ascii="Arial" w:hAnsi="Arial" w:cs="Arial"/>
          <w:sz w:val="20"/>
          <w:szCs w:val="20"/>
          <w:lang w:val="cs-CZ"/>
        </w:rPr>
      </w:pPr>
      <w:r w:rsidRPr="00D22AB4">
        <w:rPr>
          <w:rFonts w:ascii="Arial" w:hAnsi="Arial" w:cs="Arial"/>
          <w:b/>
          <w:bCs/>
          <w:sz w:val="20"/>
          <w:szCs w:val="20"/>
          <w:lang w:val="cs-CZ"/>
        </w:rPr>
        <w:t>CASPYAN FUND SICAV a.s.</w:t>
      </w:r>
      <w:r w:rsidRPr="00D22AB4">
        <w:rPr>
          <w:rFonts w:ascii="Arial" w:hAnsi="Arial" w:cs="Arial"/>
          <w:sz w:val="20"/>
          <w:szCs w:val="20"/>
          <w:lang w:val="cs-CZ"/>
        </w:rPr>
        <w:t xml:space="preserve"> je </w:t>
      </w:r>
      <w:r w:rsidR="00CF7EA7" w:rsidRPr="00CF7EA7">
        <w:rPr>
          <w:rFonts w:ascii="Arial" w:hAnsi="Arial" w:cs="Arial"/>
          <w:sz w:val="20"/>
          <w:szCs w:val="20"/>
          <w:lang w:val="cs-CZ"/>
        </w:rPr>
        <w:t>mladým fondem kvalifikovaných investorů zaměřeným na</w:t>
      </w:r>
      <w:r w:rsidR="00CF7EA7">
        <w:rPr>
          <w:rFonts w:ascii="Arial" w:hAnsi="Arial" w:cs="Arial"/>
          <w:sz w:val="20"/>
          <w:szCs w:val="20"/>
          <w:lang w:val="cs-CZ"/>
        </w:rPr>
        <w:t> </w:t>
      </w:r>
      <w:r w:rsidR="00CF7EA7" w:rsidRPr="00CF7EA7">
        <w:rPr>
          <w:rFonts w:ascii="Arial" w:hAnsi="Arial" w:cs="Arial"/>
          <w:sz w:val="20"/>
          <w:szCs w:val="20"/>
          <w:lang w:val="cs-CZ"/>
        </w:rPr>
        <w:t>diverzifikované portfolio</w:t>
      </w:r>
      <w:r w:rsidR="00CF7EA7">
        <w:rPr>
          <w:rFonts w:ascii="Arial" w:hAnsi="Arial" w:cs="Arial"/>
          <w:sz w:val="20"/>
          <w:szCs w:val="20"/>
          <w:lang w:val="cs-CZ"/>
        </w:rPr>
        <w:t xml:space="preserve"> </w:t>
      </w:r>
      <w:r w:rsidR="00CF7EA7" w:rsidRPr="00CF7EA7">
        <w:rPr>
          <w:rFonts w:ascii="Arial" w:hAnsi="Arial" w:cs="Arial"/>
          <w:sz w:val="20"/>
          <w:szCs w:val="20"/>
          <w:lang w:val="cs-CZ"/>
        </w:rPr>
        <w:t>výnosových nemovitostí a developerských projektů.</w:t>
      </w:r>
      <w:r w:rsidR="00CF7EA7">
        <w:rPr>
          <w:rFonts w:ascii="Arial" w:hAnsi="Arial" w:cs="Arial"/>
          <w:sz w:val="20"/>
          <w:szCs w:val="20"/>
          <w:lang w:val="cs-CZ"/>
        </w:rPr>
        <w:t xml:space="preserve"> </w:t>
      </w:r>
      <w:r w:rsidRPr="00D22AB4">
        <w:rPr>
          <w:rFonts w:ascii="Arial" w:hAnsi="Arial" w:cs="Arial"/>
          <w:sz w:val="20"/>
          <w:szCs w:val="20"/>
          <w:lang w:val="cs-CZ"/>
        </w:rPr>
        <w:t>Pilířem fondu je</w:t>
      </w:r>
      <w:r w:rsidR="00CF7EA7">
        <w:rPr>
          <w:rFonts w:ascii="Arial" w:hAnsi="Arial" w:cs="Arial"/>
          <w:sz w:val="20"/>
          <w:szCs w:val="20"/>
          <w:lang w:val="cs-CZ"/>
        </w:rPr>
        <w:t> </w:t>
      </w:r>
      <w:r w:rsidRPr="00D22AB4">
        <w:rPr>
          <w:rFonts w:ascii="Arial" w:hAnsi="Arial" w:cs="Arial"/>
          <w:sz w:val="20"/>
          <w:szCs w:val="20"/>
          <w:lang w:val="cs-CZ"/>
        </w:rPr>
        <w:t>strategické složení portfolia, zahrnující investice do projektů nájemního bydlení a komerčních nemovitostí s dlouhodobým výnosovým potenciálem, a</w:t>
      </w:r>
      <w:r w:rsidR="00733344">
        <w:rPr>
          <w:rFonts w:ascii="Arial" w:hAnsi="Arial" w:cs="Arial"/>
          <w:sz w:val="20"/>
          <w:szCs w:val="20"/>
          <w:lang w:val="cs-CZ"/>
        </w:rPr>
        <w:t> </w:t>
      </w:r>
      <w:r w:rsidRPr="00D22AB4">
        <w:rPr>
          <w:rFonts w:ascii="Arial" w:hAnsi="Arial" w:cs="Arial"/>
          <w:sz w:val="20"/>
          <w:szCs w:val="20"/>
          <w:lang w:val="cs-CZ"/>
        </w:rPr>
        <w:t>developerských projektů v pokročilé fázi povolování s vydaným územním nebo stavebním povolením. Díky kombinaci stabilních příjmů z</w:t>
      </w:r>
      <w:r w:rsidR="004C5D59">
        <w:rPr>
          <w:rFonts w:ascii="Arial" w:hAnsi="Arial" w:cs="Arial"/>
          <w:sz w:val="20"/>
          <w:szCs w:val="20"/>
          <w:lang w:val="cs-CZ"/>
        </w:rPr>
        <w:t> </w:t>
      </w:r>
      <w:r w:rsidRPr="00D22AB4">
        <w:rPr>
          <w:rFonts w:ascii="Arial" w:hAnsi="Arial" w:cs="Arial"/>
          <w:sz w:val="20"/>
          <w:szCs w:val="20"/>
          <w:lang w:val="cs-CZ"/>
        </w:rPr>
        <w:t xml:space="preserve">pronájmu nemovitostí a atraktivního zhodnocení developerských projektů poskytuje fond investorům optimální rovnováhu mezi pravidelným výnosem a kapitálovým růstem. </w:t>
      </w:r>
      <w:r w:rsidR="004E2C20" w:rsidRPr="00D22AB4">
        <w:rPr>
          <w:rFonts w:ascii="Arial" w:hAnsi="Arial" w:cs="Arial"/>
          <w:sz w:val="20"/>
          <w:szCs w:val="20"/>
          <w:lang w:val="cs-CZ"/>
        </w:rPr>
        <w:t>Více informací naleznete na</w:t>
      </w:r>
      <w:r w:rsidR="004C5D59">
        <w:rPr>
          <w:rFonts w:ascii="Arial" w:hAnsi="Arial" w:cs="Arial"/>
          <w:sz w:val="20"/>
          <w:szCs w:val="20"/>
          <w:lang w:val="cs-CZ"/>
        </w:rPr>
        <w:t> </w:t>
      </w:r>
      <w:hyperlink r:id="rId9" w:history="1">
        <w:r w:rsidR="004E2C20" w:rsidRPr="00D22AB4">
          <w:rPr>
            <w:rStyle w:val="Hypertextovodkaz"/>
            <w:rFonts w:ascii="Arial" w:hAnsi="Arial" w:cs="Arial"/>
            <w:sz w:val="20"/>
            <w:szCs w:val="20"/>
            <w:lang w:val="cs-CZ"/>
          </w:rPr>
          <w:t>https://caspyan.group/</w:t>
        </w:r>
      </w:hyperlink>
      <w:r w:rsidR="004E2C20" w:rsidRPr="00D22AB4">
        <w:rPr>
          <w:rFonts w:ascii="Arial" w:hAnsi="Arial" w:cs="Arial"/>
          <w:sz w:val="20"/>
          <w:szCs w:val="20"/>
          <w:lang w:val="cs-CZ"/>
        </w:rPr>
        <w:t>.</w:t>
      </w:r>
      <w:r w:rsidR="001B4485">
        <w:rPr>
          <w:rFonts w:ascii="Arial" w:hAnsi="Arial" w:cs="Arial"/>
          <w:sz w:val="20"/>
          <w:szCs w:val="20"/>
          <w:lang w:val="cs-CZ"/>
        </w:rPr>
        <w:t xml:space="preserve"> </w:t>
      </w:r>
    </w:p>
    <w:p w14:paraId="1B8D3C21" w14:textId="77777777" w:rsidR="00D16374" w:rsidRDefault="003F400C" w:rsidP="00AE1E21">
      <w:pPr>
        <w:spacing w:after="0" w:line="240" w:lineRule="auto"/>
        <w:jc w:val="both"/>
        <w:textAlignment w:val="baseline"/>
        <w:rPr>
          <w:rFonts w:ascii="Arial" w:eastAsia="Times New Roman" w:hAnsi="Arial" w:cs="Arial"/>
          <w:b/>
          <w:bCs/>
          <w:sz w:val="20"/>
          <w:szCs w:val="20"/>
          <w:lang w:val="cs-CZ" w:eastAsia="en-GB"/>
          <w14:ligatures w14:val="none"/>
        </w:rPr>
      </w:pPr>
      <w:r>
        <w:rPr>
          <w:rFonts w:ascii="Arial" w:eastAsia="Times New Roman" w:hAnsi="Arial" w:cs="Arial"/>
          <w:b/>
          <w:bCs/>
          <w:sz w:val="20"/>
          <w:szCs w:val="20"/>
          <w:lang w:val="cs-CZ" w:eastAsia="en-GB"/>
          <w14:ligatures w14:val="none"/>
        </w:rPr>
        <w:br/>
      </w:r>
    </w:p>
    <w:p w14:paraId="7643331B" w14:textId="14487EBB" w:rsidR="00AE1E21" w:rsidRPr="00AE1E21" w:rsidRDefault="00AE1E21" w:rsidP="00AE1E21">
      <w:pPr>
        <w:spacing w:after="0" w:line="240" w:lineRule="auto"/>
        <w:jc w:val="both"/>
        <w:textAlignment w:val="baseline"/>
        <w:rPr>
          <w:rFonts w:ascii="Arial" w:eastAsia="Times New Roman" w:hAnsi="Arial" w:cs="Arial"/>
          <w:sz w:val="18"/>
          <w:szCs w:val="18"/>
          <w:lang w:val="cs-CZ" w:eastAsia="en-GB"/>
          <w14:ligatures w14:val="none"/>
        </w:rPr>
      </w:pPr>
      <w:r w:rsidRPr="00AE1E21">
        <w:rPr>
          <w:rFonts w:ascii="Arial" w:eastAsia="Times New Roman" w:hAnsi="Arial" w:cs="Arial"/>
          <w:b/>
          <w:bCs/>
          <w:sz w:val="20"/>
          <w:szCs w:val="20"/>
          <w:lang w:val="cs-CZ" w:eastAsia="en-GB"/>
          <w14:ligatures w14:val="none"/>
        </w:rPr>
        <w:t>Pro více informací kontaktujte:</w:t>
      </w:r>
      <w:r w:rsidRPr="00AE1E21">
        <w:rPr>
          <w:rFonts w:ascii="Arial" w:eastAsia="Times New Roman" w:hAnsi="Arial" w:cs="Arial"/>
          <w:sz w:val="20"/>
          <w:szCs w:val="20"/>
          <w:lang w:val="cs-CZ" w:eastAsia="en-GB"/>
          <w14:ligatures w14:val="none"/>
        </w:rPr>
        <w:t> </w:t>
      </w:r>
    </w:p>
    <w:p w14:paraId="0B0C8334" w14:textId="77777777" w:rsidR="00AE1E21" w:rsidRPr="00AE1E21" w:rsidRDefault="00AE1E21" w:rsidP="00AE1E21">
      <w:pPr>
        <w:spacing w:after="0" w:line="240" w:lineRule="auto"/>
        <w:textAlignment w:val="baseline"/>
        <w:rPr>
          <w:rFonts w:ascii="Arial" w:eastAsia="Times New Roman" w:hAnsi="Arial" w:cs="Arial"/>
          <w:sz w:val="18"/>
          <w:szCs w:val="18"/>
          <w:lang w:val="cs-CZ" w:eastAsia="en-GB"/>
          <w14:ligatures w14:val="none"/>
        </w:rPr>
      </w:pPr>
      <w:r w:rsidRPr="00AE1E21">
        <w:rPr>
          <w:rFonts w:ascii="Arial" w:eastAsia="Times New Roman" w:hAnsi="Arial" w:cs="Arial"/>
          <w:lang w:val="cs-CZ"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AE1E21" w:rsidRPr="00AE1E21" w14:paraId="77D95806" w14:textId="77777777">
        <w:trPr>
          <w:trHeight w:val="300"/>
        </w:trPr>
        <w:tc>
          <w:tcPr>
            <w:tcW w:w="4530" w:type="dxa"/>
            <w:tcBorders>
              <w:top w:val="nil"/>
              <w:left w:val="nil"/>
              <w:bottom w:val="nil"/>
              <w:right w:val="nil"/>
            </w:tcBorders>
            <w:hideMark/>
          </w:tcPr>
          <w:p w14:paraId="7A12270C" w14:textId="77777777" w:rsidR="00AE1E21" w:rsidRPr="00AE1E21" w:rsidRDefault="00AE1E21" w:rsidP="00AE1E21">
            <w:pPr>
              <w:spacing w:after="0" w:line="240" w:lineRule="auto"/>
              <w:textAlignment w:val="baseline"/>
              <w:rPr>
                <w:rFonts w:ascii="Arial" w:eastAsia="Times New Roman" w:hAnsi="Arial" w:cs="Arial"/>
                <w:sz w:val="24"/>
                <w:szCs w:val="24"/>
                <w:lang w:val="cs-CZ" w:eastAsia="en-GB"/>
                <w14:ligatures w14:val="none"/>
              </w:rPr>
            </w:pPr>
            <w:r w:rsidRPr="00AE1E21">
              <w:rPr>
                <w:rFonts w:ascii="Arial" w:eastAsia="Times New Roman" w:hAnsi="Arial" w:cs="Arial"/>
                <w:b/>
                <w:bCs/>
                <w:sz w:val="20"/>
                <w:szCs w:val="20"/>
                <w:lang w:val="cs-CZ" w:eastAsia="en-GB"/>
                <w14:ligatures w14:val="none"/>
              </w:rPr>
              <w:t>Crest Communications, a.s.</w:t>
            </w:r>
            <w:r w:rsidRPr="00AE1E21">
              <w:rPr>
                <w:rFonts w:ascii="Arial" w:eastAsia="Times New Roman" w:hAnsi="Arial" w:cs="Arial"/>
                <w:sz w:val="20"/>
                <w:szCs w:val="20"/>
                <w:lang w:val="cs-CZ" w:eastAsia="en-GB"/>
                <w14:ligatures w14:val="none"/>
              </w:rPr>
              <w:t> </w:t>
            </w:r>
          </w:p>
        </w:tc>
        <w:tc>
          <w:tcPr>
            <w:tcW w:w="4530" w:type="dxa"/>
            <w:tcBorders>
              <w:top w:val="nil"/>
              <w:left w:val="nil"/>
              <w:bottom w:val="nil"/>
              <w:right w:val="nil"/>
            </w:tcBorders>
            <w:hideMark/>
          </w:tcPr>
          <w:p w14:paraId="2570EA4D" w14:textId="77777777" w:rsidR="00AE1E21" w:rsidRPr="00AE1E21" w:rsidRDefault="00AE1E21" w:rsidP="00AE1E21">
            <w:pPr>
              <w:spacing w:after="0" w:line="240" w:lineRule="auto"/>
              <w:textAlignment w:val="baseline"/>
              <w:rPr>
                <w:rFonts w:ascii="Arial" w:eastAsia="Times New Roman" w:hAnsi="Arial" w:cs="Arial"/>
                <w:sz w:val="24"/>
                <w:szCs w:val="24"/>
                <w:lang w:val="cs-CZ" w:eastAsia="en-GB"/>
                <w14:ligatures w14:val="none"/>
              </w:rPr>
            </w:pPr>
            <w:r w:rsidRPr="00AE1E21">
              <w:rPr>
                <w:rFonts w:ascii="Arial" w:eastAsia="Times New Roman" w:hAnsi="Arial" w:cs="Arial"/>
                <w:lang w:val="cs-CZ" w:eastAsia="en-GB"/>
                <w14:ligatures w14:val="none"/>
              </w:rPr>
              <w:t> </w:t>
            </w:r>
          </w:p>
        </w:tc>
      </w:tr>
      <w:tr w:rsidR="00AE1E21" w:rsidRPr="00AE1E21" w14:paraId="5092D318" w14:textId="77777777">
        <w:trPr>
          <w:trHeight w:val="300"/>
        </w:trPr>
        <w:tc>
          <w:tcPr>
            <w:tcW w:w="4530" w:type="dxa"/>
            <w:tcBorders>
              <w:top w:val="nil"/>
              <w:left w:val="nil"/>
              <w:bottom w:val="nil"/>
              <w:right w:val="nil"/>
            </w:tcBorders>
            <w:hideMark/>
          </w:tcPr>
          <w:p w14:paraId="6812C607" w14:textId="77777777" w:rsidR="00AE1E21" w:rsidRPr="00AE1E21" w:rsidRDefault="00AE1E21" w:rsidP="00AE1E21">
            <w:pPr>
              <w:spacing w:after="0" w:line="240" w:lineRule="auto"/>
              <w:textAlignment w:val="baseline"/>
              <w:rPr>
                <w:rFonts w:ascii="Arial" w:eastAsia="Times New Roman" w:hAnsi="Arial" w:cs="Arial"/>
                <w:sz w:val="24"/>
                <w:szCs w:val="24"/>
                <w:lang w:val="cs-CZ" w:eastAsia="en-GB"/>
                <w14:ligatures w14:val="none"/>
              </w:rPr>
            </w:pPr>
            <w:r w:rsidRPr="00AE1E21">
              <w:rPr>
                <w:rFonts w:ascii="Arial" w:eastAsia="Times New Roman" w:hAnsi="Arial" w:cs="Arial"/>
                <w:b/>
                <w:bCs/>
                <w:sz w:val="20"/>
                <w:szCs w:val="20"/>
                <w:lang w:val="cs-CZ" w:eastAsia="en-GB"/>
                <w14:ligatures w14:val="none"/>
              </w:rPr>
              <w:t>Denisa Kolaříková</w:t>
            </w:r>
            <w:r w:rsidRPr="00AE1E21">
              <w:rPr>
                <w:rFonts w:ascii="Arial" w:eastAsia="Times New Roman" w:hAnsi="Arial" w:cs="Arial"/>
                <w:sz w:val="20"/>
                <w:szCs w:val="20"/>
                <w:lang w:val="cs-CZ" w:eastAsia="en-GB"/>
                <w14:ligatures w14:val="none"/>
              </w:rPr>
              <w:tab/>
            </w:r>
            <w:r w:rsidRPr="00AE1E21">
              <w:rPr>
                <w:rFonts w:ascii="Arial" w:eastAsia="Times New Roman" w:hAnsi="Arial" w:cs="Arial"/>
                <w:lang w:val="cs-CZ" w:eastAsia="en-GB"/>
                <w14:ligatures w14:val="none"/>
              </w:rPr>
              <w:t> </w:t>
            </w:r>
          </w:p>
        </w:tc>
        <w:tc>
          <w:tcPr>
            <w:tcW w:w="4530" w:type="dxa"/>
            <w:tcBorders>
              <w:top w:val="nil"/>
              <w:left w:val="nil"/>
              <w:bottom w:val="nil"/>
              <w:right w:val="nil"/>
            </w:tcBorders>
            <w:hideMark/>
          </w:tcPr>
          <w:p w14:paraId="3343F175" w14:textId="27DD6211" w:rsidR="00AE1E21" w:rsidRPr="00AE1E21" w:rsidRDefault="002A03AD" w:rsidP="00AE1E21">
            <w:pPr>
              <w:spacing w:after="0" w:line="240" w:lineRule="auto"/>
              <w:textAlignment w:val="baseline"/>
              <w:rPr>
                <w:rFonts w:ascii="Arial" w:eastAsia="Times New Roman" w:hAnsi="Arial" w:cs="Arial"/>
                <w:sz w:val="24"/>
                <w:szCs w:val="24"/>
                <w:lang w:val="cs-CZ" w:eastAsia="en-GB"/>
                <w14:ligatures w14:val="none"/>
              </w:rPr>
            </w:pPr>
            <w:r>
              <w:rPr>
                <w:rFonts w:ascii="Arial" w:eastAsia="Times New Roman" w:hAnsi="Arial" w:cs="Arial"/>
                <w:b/>
                <w:bCs/>
                <w:sz w:val="20"/>
                <w:szCs w:val="20"/>
                <w:lang w:val="cs-CZ" w:eastAsia="en-GB"/>
                <w14:ligatures w14:val="none"/>
              </w:rPr>
              <w:t>Kateřina Slavíčková</w:t>
            </w:r>
            <w:r w:rsidR="00AE1E21" w:rsidRPr="00AE1E21">
              <w:rPr>
                <w:rFonts w:ascii="Arial" w:eastAsia="Times New Roman" w:hAnsi="Arial" w:cs="Arial"/>
                <w:sz w:val="20"/>
                <w:szCs w:val="20"/>
                <w:lang w:val="cs-CZ" w:eastAsia="en-GB"/>
                <w14:ligatures w14:val="none"/>
              </w:rPr>
              <w:t> </w:t>
            </w:r>
          </w:p>
        </w:tc>
      </w:tr>
      <w:tr w:rsidR="00AE1E21" w:rsidRPr="00AE1E21" w14:paraId="3E2E8BE0" w14:textId="77777777">
        <w:trPr>
          <w:trHeight w:val="300"/>
        </w:trPr>
        <w:tc>
          <w:tcPr>
            <w:tcW w:w="4530" w:type="dxa"/>
            <w:tcBorders>
              <w:top w:val="nil"/>
              <w:left w:val="nil"/>
              <w:bottom w:val="nil"/>
              <w:right w:val="nil"/>
            </w:tcBorders>
            <w:hideMark/>
          </w:tcPr>
          <w:p w14:paraId="2BB92566" w14:textId="77777777" w:rsidR="00AE1E21" w:rsidRPr="00AE1E21" w:rsidRDefault="00AE1E21" w:rsidP="00AE1E21">
            <w:pPr>
              <w:spacing w:after="0" w:line="240" w:lineRule="auto"/>
              <w:textAlignment w:val="baseline"/>
              <w:rPr>
                <w:rFonts w:ascii="Arial" w:eastAsia="Times New Roman" w:hAnsi="Arial" w:cs="Arial"/>
                <w:sz w:val="20"/>
                <w:szCs w:val="20"/>
                <w:lang w:val="cs-CZ" w:eastAsia="en-GB"/>
                <w14:ligatures w14:val="none"/>
              </w:rPr>
            </w:pPr>
            <w:hyperlink r:id="rId10" w:tgtFrame="_blank" w:history="1">
              <w:r w:rsidRPr="00AE1E21">
                <w:rPr>
                  <w:rFonts w:ascii="Arial" w:eastAsia="Times New Roman" w:hAnsi="Arial" w:cs="Arial"/>
                  <w:color w:val="0563C1"/>
                  <w:sz w:val="20"/>
                  <w:szCs w:val="20"/>
                  <w:u w:val="single"/>
                  <w:lang w:val="cs-CZ" w:eastAsia="en-GB"/>
                  <w14:ligatures w14:val="none"/>
                </w:rPr>
                <w:t>denisa.kolarikova@crestcom.cz</w:t>
              </w:r>
            </w:hyperlink>
            <w:r w:rsidRPr="00AE1E21">
              <w:rPr>
                <w:rFonts w:ascii="Arial" w:eastAsia="Times New Roman" w:hAnsi="Arial" w:cs="Arial"/>
                <w:color w:val="0563C1"/>
                <w:sz w:val="20"/>
                <w:szCs w:val="20"/>
                <w:lang w:val="cs-CZ" w:eastAsia="en-GB"/>
                <w14:ligatures w14:val="none"/>
              </w:rPr>
              <w:tab/>
            </w:r>
            <w:r w:rsidRPr="00AE1E21">
              <w:rPr>
                <w:rFonts w:ascii="Arial" w:eastAsia="Times New Roman" w:hAnsi="Arial" w:cs="Arial"/>
                <w:sz w:val="20"/>
                <w:szCs w:val="20"/>
                <w:lang w:val="cs-CZ" w:eastAsia="en-GB"/>
                <w14:ligatures w14:val="none"/>
              </w:rPr>
              <w:t> </w:t>
            </w:r>
          </w:p>
        </w:tc>
        <w:tc>
          <w:tcPr>
            <w:tcW w:w="4530" w:type="dxa"/>
            <w:tcBorders>
              <w:top w:val="nil"/>
              <w:left w:val="nil"/>
              <w:bottom w:val="nil"/>
              <w:right w:val="nil"/>
            </w:tcBorders>
            <w:hideMark/>
          </w:tcPr>
          <w:p w14:paraId="78DC802F" w14:textId="676BC13B" w:rsidR="00AE1E21" w:rsidRPr="00AE1E21" w:rsidRDefault="002A03AD" w:rsidP="00AE1E21">
            <w:pPr>
              <w:spacing w:after="0" w:line="240" w:lineRule="auto"/>
              <w:textAlignment w:val="baseline"/>
              <w:rPr>
                <w:rFonts w:ascii="Arial" w:eastAsia="Times New Roman" w:hAnsi="Arial" w:cs="Arial"/>
                <w:sz w:val="20"/>
                <w:szCs w:val="20"/>
                <w:lang w:val="cs-CZ" w:eastAsia="en-GB"/>
                <w14:ligatures w14:val="none"/>
              </w:rPr>
            </w:pPr>
            <w:hyperlink r:id="rId11" w:history="1">
              <w:r>
                <w:rPr>
                  <w:rStyle w:val="Hypertextovodkaz"/>
                  <w:rFonts w:ascii="Arial" w:eastAsia="Times New Roman" w:hAnsi="Arial" w:cs="Arial"/>
                  <w:sz w:val="20"/>
                  <w:szCs w:val="20"/>
                  <w:lang w:val="cs-CZ" w:eastAsia="en-GB"/>
                  <w14:ligatures w14:val="none"/>
                </w:rPr>
                <w:t>katerina.slavickova@crestcom.cz</w:t>
              </w:r>
            </w:hyperlink>
          </w:p>
        </w:tc>
      </w:tr>
      <w:tr w:rsidR="00AE1E21" w:rsidRPr="00AE1E21" w14:paraId="12135781" w14:textId="77777777">
        <w:trPr>
          <w:trHeight w:val="300"/>
        </w:trPr>
        <w:tc>
          <w:tcPr>
            <w:tcW w:w="4530" w:type="dxa"/>
            <w:tcBorders>
              <w:top w:val="nil"/>
              <w:left w:val="nil"/>
              <w:bottom w:val="nil"/>
              <w:right w:val="nil"/>
            </w:tcBorders>
            <w:hideMark/>
          </w:tcPr>
          <w:p w14:paraId="1AB8F382" w14:textId="77777777" w:rsidR="00AE1E21" w:rsidRPr="00AE1E21" w:rsidRDefault="00AE1E21" w:rsidP="00AE1E21">
            <w:pPr>
              <w:spacing w:after="0" w:line="240" w:lineRule="auto"/>
              <w:textAlignment w:val="baseline"/>
              <w:rPr>
                <w:rFonts w:ascii="Arial" w:eastAsia="Times New Roman" w:hAnsi="Arial" w:cs="Arial"/>
                <w:sz w:val="24"/>
                <w:szCs w:val="24"/>
                <w:lang w:val="cs-CZ" w:eastAsia="en-GB"/>
                <w14:ligatures w14:val="none"/>
              </w:rPr>
            </w:pPr>
            <w:r w:rsidRPr="00AE1E21">
              <w:rPr>
                <w:rFonts w:ascii="Arial" w:eastAsia="Times New Roman" w:hAnsi="Arial" w:cs="Arial"/>
                <w:sz w:val="20"/>
                <w:szCs w:val="20"/>
                <w:lang w:val="cs-CZ" w:eastAsia="en-GB"/>
                <w14:ligatures w14:val="none"/>
              </w:rPr>
              <w:t>mobil: 731 613 606 </w:t>
            </w:r>
          </w:p>
        </w:tc>
        <w:tc>
          <w:tcPr>
            <w:tcW w:w="4530" w:type="dxa"/>
            <w:tcBorders>
              <w:top w:val="nil"/>
              <w:left w:val="nil"/>
              <w:bottom w:val="nil"/>
              <w:right w:val="nil"/>
            </w:tcBorders>
            <w:hideMark/>
          </w:tcPr>
          <w:p w14:paraId="4462819E" w14:textId="15BD0945" w:rsidR="00AE1E21" w:rsidRPr="00AE1E21" w:rsidRDefault="00AE1E21" w:rsidP="00AE1E21">
            <w:pPr>
              <w:spacing w:after="0" w:line="240" w:lineRule="auto"/>
              <w:textAlignment w:val="baseline"/>
              <w:rPr>
                <w:rFonts w:ascii="Arial" w:eastAsia="Times New Roman" w:hAnsi="Arial" w:cs="Arial"/>
                <w:sz w:val="24"/>
                <w:szCs w:val="24"/>
                <w:lang w:val="cs-CZ" w:eastAsia="en-GB"/>
                <w14:ligatures w14:val="none"/>
              </w:rPr>
            </w:pPr>
            <w:r w:rsidRPr="00AE1E21">
              <w:rPr>
                <w:rFonts w:ascii="Arial" w:eastAsia="Times New Roman" w:hAnsi="Arial" w:cs="Arial"/>
                <w:sz w:val="20"/>
                <w:szCs w:val="20"/>
                <w:lang w:val="cs-CZ" w:eastAsia="en-GB"/>
                <w14:ligatures w14:val="none"/>
              </w:rPr>
              <w:t xml:space="preserve">mobil: </w:t>
            </w:r>
            <w:r w:rsidR="002A03AD" w:rsidRPr="002A03AD">
              <w:rPr>
                <w:rFonts w:ascii="Arial" w:eastAsia="Times New Roman" w:hAnsi="Arial" w:cs="Arial"/>
                <w:sz w:val="20"/>
                <w:szCs w:val="20"/>
                <w:lang w:val="cs-CZ" w:eastAsia="en-GB"/>
                <w14:ligatures w14:val="none"/>
              </w:rPr>
              <w:t>602 443 612</w:t>
            </w:r>
          </w:p>
        </w:tc>
      </w:tr>
    </w:tbl>
    <w:p w14:paraId="41303464" w14:textId="77777777" w:rsidR="00AE1E21" w:rsidRPr="00AE1E21" w:rsidRDefault="00AE1E21" w:rsidP="00B25513">
      <w:pPr>
        <w:jc w:val="center"/>
        <w:rPr>
          <w:rFonts w:ascii="Arial" w:hAnsi="Arial" w:cs="Arial"/>
          <w:lang w:val="cs-CZ"/>
        </w:rPr>
      </w:pPr>
    </w:p>
    <w:sectPr w:rsidR="00AE1E21" w:rsidRPr="00AE1E21" w:rsidSect="004F34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276BA"/>
    <w:multiLevelType w:val="hybridMultilevel"/>
    <w:tmpl w:val="08703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1CA2ACF"/>
    <w:multiLevelType w:val="multilevel"/>
    <w:tmpl w:val="0DC0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818843">
    <w:abstractNumId w:val="1"/>
  </w:num>
  <w:num w:numId="2" w16cid:durableId="90669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13"/>
    <w:rsid w:val="000054E1"/>
    <w:rsid w:val="000073FF"/>
    <w:rsid w:val="00010BED"/>
    <w:rsid w:val="00012D2C"/>
    <w:rsid w:val="0001530D"/>
    <w:rsid w:val="000162E7"/>
    <w:rsid w:val="0002362A"/>
    <w:rsid w:val="000467C7"/>
    <w:rsid w:val="00054E92"/>
    <w:rsid w:val="00056742"/>
    <w:rsid w:val="00066D68"/>
    <w:rsid w:val="00067145"/>
    <w:rsid w:val="00081839"/>
    <w:rsid w:val="000902D4"/>
    <w:rsid w:val="00096A39"/>
    <w:rsid w:val="00097107"/>
    <w:rsid w:val="000A097A"/>
    <w:rsid w:val="000A4690"/>
    <w:rsid w:val="000A77EC"/>
    <w:rsid w:val="000B4F7D"/>
    <w:rsid w:val="000C095D"/>
    <w:rsid w:val="000C769B"/>
    <w:rsid w:val="000E0AB3"/>
    <w:rsid w:val="000F1836"/>
    <w:rsid w:val="000F51EC"/>
    <w:rsid w:val="00100CA9"/>
    <w:rsid w:val="00105D89"/>
    <w:rsid w:val="0010623C"/>
    <w:rsid w:val="001251C1"/>
    <w:rsid w:val="00132067"/>
    <w:rsid w:val="00132BAB"/>
    <w:rsid w:val="001503D3"/>
    <w:rsid w:val="001569F4"/>
    <w:rsid w:val="00157973"/>
    <w:rsid w:val="00174ED3"/>
    <w:rsid w:val="00182BB9"/>
    <w:rsid w:val="00183491"/>
    <w:rsid w:val="00191D97"/>
    <w:rsid w:val="001970EB"/>
    <w:rsid w:val="00197AA5"/>
    <w:rsid w:val="00197F05"/>
    <w:rsid w:val="001A0E64"/>
    <w:rsid w:val="001A3E19"/>
    <w:rsid w:val="001B1248"/>
    <w:rsid w:val="001B308F"/>
    <w:rsid w:val="001B4485"/>
    <w:rsid w:val="001D1187"/>
    <w:rsid w:val="001D2A3E"/>
    <w:rsid w:val="001D2CCE"/>
    <w:rsid w:val="001D45DF"/>
    <w:rsid w:val="001E242D"/>
    <w:rsid w:val="00203B89"/>
    <w:rsid w:val="00205EE9"/>
    <w:rsid w:val="00206AAF"/>
    <w:rsid w:val="0020718F"/>
    <w:rsid w:val="002127A9"/>
    <w:rsid w:val="00223F20"/>
    <w:rsid w:val="002277CF"/>
    <w:rsid w:val="00233D1C"/>
    <w:rsid w:val="002534A5"/>
    <w:rsid w:val="00253ADB"/>
    <w:rsid w:val="002629F9"/>
    <w:rsid w:val="00280FA1"/>
    <w:rsid w:val="00290272"/>
    <w:rsid w:val="002A03AD"/>
    <w:rsid w:val="002A22E7"/>
    <w:rsid w:val="002B27B8"/>
    <w:rsid w:val="002C696D"/>
    <w:rsid w:val="002D5272"/>
    <w:rsid w:val="002E0CC3"/>
    <w:rsid w:val="002E53CD"/>
    <w:rsid w:val="002E5EBA"/>
    <w:rsid w:val="002E7140"/>
    <w:rsid w:val="0032490E"/>
    <w:rsid w:val="0032542A"/>
    <w:rsid w:val="00325B95"/>
    <w:rsid w:val="003274C9"/>
    <w:rsid w:val="0034208C"/>
    <w:rsid w:val="00377952"/>
    <w:rsid w:val="00380CEB"/>
    <w:rsid w:val="00381A99"/>
    <w:rsid w:val="00393639"/>
    <w:rsid w:val="003B7620"/>
    <w:rsid w:val="003E4E30"/>
    <w:rsid w:val="003E6938"/>
    <w:rsid w:val="003F0048"/>
    <w:rsid w:val="003F2AA9"/>
    <w:rsid w:val="003F400C"/>
    <w:rsid w:val="003F5BAD"/>
    <w:rsid w:val="00406E53"/>
    <w:rsid w:val="00413BBF"/>
    <w:rsid w:val="00413BD2"/>
    <w:rsid w:val="00416C82"/>
    <w:rsid w:val="00417EEE"/>
    <w:rsid w:val="00423847"/>
    <w:rsid w:val="00431575"/>
    <w:rsid w:val="0043236F"/>
    <w:rsid w:val="004420C2"/>
    <w:rsid w:val="0044421D"/>
    <w:rsid w:val="004546AB"/>
    <w:rsid w:val="00464972"/>
    <w:rsid w:val="00464C61"/>
    <w:rsid w:val="00464D66"/>
    <w:rsid w:val="004650FD"/>
    <w:rsid w:val="004A028F"/>
    <w:rsid w:val="004B1198"/>
    <w:rsid w:val="004B14DB"/>
    <w:rsid w:val="004B6019"/>
    <w:rsid w:val="004C5D59"/>
    <w:rsid w:val="004C7248"/>
    <w:rsid w:val="004D0B8E"/>
    <w:rsid w:val="004D6E81"/>
    <w:rsid w:val="004E2C20"/>
    <w:rsid w:val="004E3C11"/>
    <w:rsid w:val="004F34B1"/>
    <w:rsid w:val="004F7C57"/>
    <w:rsid w:val="004F7ECD"/>
    <w:rsid w:val="00502104"/>
    <w:rsid w:val="0050421F"/>
    <w:rsid w:val="0050437B"/>
    <w:rsid w:val="00504D5F"/>
    <w:rsid w:val="00507362"/>
    <w:rsid w:val="00510224"/>
    <w:rsid w:val="00511915"/>
    <w:rsid w:val="005161E7"/>
    <w:rsid w:val="005272B0"/>
    <w:rsid w:val="005364FF"/>
    <w:rsid w:val="00553B01"/>
    <w:rsid w:val="00571656"/>
    <w:rsid w:val="00573AF5"/>
    <w:rsid w:val="005A004C"/>
    <w:rsid w:val="005A3B8D"/>
    <w:rsid w:val="005A6C00"/>
    <w:rsid w:val="005B0625"/>
    <w:rsid w:val="005C0A5C"/>
    <w:rsid w:val="005D54D3"/>
    <w:rsid w:val="005E03A3"/>
    <w:rsid w:val="005E1510"/>
    <w:rsid w:val="005F02AB"/>
    <w:rsid w:val="005F0E5D"/>
    <w:rsid w:val="005F3169"/>
    <w:rsid w:val="0060727B"/>
    <w:rsid w:val="00617741"/>
    <w:rsid w:val="00620CE8"/>
    <w:rsid w:val="006224B7"/>
    <w:rsid w:val="00632F69"/>
    <w:rsid w:val="006339C4"/>
    <w:rsid w:val="00634736"/>
    <w:rsid w:val="006402BB"/>
    <w:rsid w:val="006529D5"/>
    <w:rsid w:val="00656E29"/>
    <w:rsid w:val="00677F3E"/>
    <w:rsid w:val="0068312B"/>
    <w:rsid w:val="006A047B"/>
    <w:rsid w:val="006B2FA7"/>
    <w:rsid w:val="006B6C02"/>
    <w:rsid w:val="006E4397"/>
    <w:rsid w:val="006F2DCD"/>
    <w:rsid w:val="006F32C1"/>
    <w:rsid w:val="006F6169"/>
    <w:rsid w:val="00701EE0"/>
    <w:rsid w:val="007043D1"/>
    <w:rsid w:val="00704711"/>
    <w:rsid w:val="00710083"/>
    <w:rsid w:val="0072197E"/>
    <w:rsid w:val="007234F5"/>
    <w:rsid w:val="00725315"/>
    <w:rsid w:val="00726AD0"/>
    <w:rsid w:val="007302A7"/>
    <w:rsid w:val="00731BED"/>
    <w:rsid w:val="00733344"/>
    <w:rsid w:val="00734584"/>
    <w:rsid w:val="00737DF6"/>
    <w:rsid w:val="00740852"/>
    <w:rsid w:val="00746525"/>
    <w:rsid w:val="00754914"/>
    <w:rsid w:val="00757704"/>
    <w:rsid w:val="00763263"/>
    <w:rsid w:val="00764244"/>
    <w:rsid w:val="0077539C"/>
    <w:rsid w:val="00780AF5"/>
    <w:rsid w:val="007A0620"/>
    <w:rsid w:val="007A6602"/>
    <w:rsid w:val="007A7BF1"/>
    <w:rsid w:val="007B3260"/>
    <w:rsid w:val="007B538F"/>
    <w:rsid w:val="007B666D"/>
    <w:rsid w:val="007D46BD"/>
    <w:rsid w:val="007D78D9"/>
    <w:rsid w:val="007D7F42"/>
    <w:rsid w:val="007E4C01"/>
    <w:rsid w:val="007E4D1E"/>
    <w:rsid w:val="00824CA0"/>
    <w:rsid w:val="00827135"/>
    <w:rsid w:val="00833F79"/>
    <w:rsid w:val="00847E35"/>
    <w:rsid w:val="00875116"/>
    <w:rsid w:val="00885743"/>
    <w:rsid w:val="008A53DD"/>
    <w:rsid w:val="008B35DC"/>
    <w:rsid w:val="008B66F8"/>
    <w:rsid w:val="008C1335"/>
    <w:rsid w:val="008D78D5"/>
    <w:rsid w:val="00906FE6"/>
    <w:rsid w:val="009114AD"/>
    <w:rsid w:val="0092211D"/>
    <w:rsid w:val="00922538"/>
    <w:rsid w:val="00926CCA"/>
    <w:rsid w:val="0093145F"/>
    <w:rsid w:val="00945057"/>
    <w:rsid w:val="009503C2"/>
    <w:rsid w:val="00953C76"/>
    <w:rsid w:val="009543C7"/>
    <w:rsid w:val="00967AC1"/>
    <w:rsid w:val="009749C4"/>
    <w:rsid w:val="00987498"/>
    <w:rsid w:val="00994B20"/>
    <w:rsid w:val="00996612"/>
    <w:rsid w:val="009A2D3F"/>
    <w:rsid w:val="009B6839"/>
    <w:rsid w:val="009B7C03"/>
    <w:rsid w:val="009B7E97"/>
    <w:rsid w:val="009B7EC5"/>
    <w:rsid w:val="009C49C9"/>
    <w:rsid w:val="009D28A4"/>
    <w:rsid w:val="009D4B14"/>
    <w:rsid w:val="009D53BF"/>
    <w:rsid w:val="009D612B"/>
    <w:rsid w:val="009E0B9D"/>
    <w:rsid w:val="009E2F43"/>
    <w:rsid w:val="009E7906"/>
    <w:rsid w:val="009F1258"/>
    <w:rsid w:val="00A00F91"/>
    <w:rsid w:val="00A033E4"/>
    <w:rsid w:val="00A0654F"/>
    <w:rsid w:val="00A14F4A"/>
    <w:rsid w:val="00A22307"/>
    <w:rsid w:val="00A26B1C"/>
    <w:rsid w:val="00A4067C"/>
    <w:rsid w:val="00A43953"/>
    <w:rsid w:val="00A57C34"/>
    <w:rsid w:val="00A70A79"/>
    <w:rsid w:val="00A7715D"/>
    <w:rsid w:val="00A9727C"/>
    <w:rsid w:val="00AA3CD5"/>
    <w:rsid w:val="00AC179A"/>
    <w:rsid w:val="00AD2CD8"/>
    <w:rsid w:val="00AD730A"/>
    <w:rsid w:val="00AE12D9"/>
    <w:rsid w:val="00AE1A47"/>
    <w:rsid w:val="00AE1CE5"/>
    <w:rsid w:val="00AE1E21"/>
    <w:rsid w:val="00AF0682"/>
    <w:rsid w:val="00AF29DF"/>
    <w:rsid w:val="00B11F01"/>
    <w:rsid w:val="00B20F2C"/>
    <w:rsid w:val="00B22A1E"/>
    <w:rsid w:val="00B25513"/>
    <w:rsid w:val="00B3429D"/>
    <w:rsid w:val="00B36028"/>
    <w:rsid w:val="00B40ED6"/>
    <w:rsid w:val="00B424F7"/>
    <w:rsid w:val="00B6047B"/>
    <w:rsid w:val="00B607B7"/>
    <w:rsid w:val="00B616C0"/>
    <w:rsid w:val="00B70641"/>
    <w:rsid w:val="00B70C80"/>
    <w:rsid w:val="00B73427"/>
    <w:rsid w:val="00B757E2"/>
    <w:rsid w:val="00B77B58"/>
    <w:rsid w:val="00B84DA1"/>
    <w:rsid w:val="00B8638D"/>
    <w:rsid w:val="00B9121F"/>
    <w:rsid w:val="00BB5D29"/>
    <w:rsid w:val="00BE28C4"/>
    <w:rsid w:val="00BE7C29"/>
    <w:rsid w:val="00BF1683"/>
    <w:rsid w:val="00C223CC"/>
    <w:rsid w:val="00C25E5C"/>
    <w:rsid w:val="00C300A4"/>
    <w:rsid w:val="00C44E43"/>
    <w:rsid w:val="00C46A2E"/>
    <w:rsid w:val="00C47055"/>
    <w:rsid w:val="00C47549"/>
    <w:rsid w:val="00C555A5"/>
    <w:rsid w:val="00C5733E"/>
    <w:rsid w:val="00C637C3"/>
    <w:rsid w:val="00C64CEB"/>
    <w:rsid w:val="00C8124B"/>
    <w:rsid w:val="00C94622"/>
    <w:rsid w:val="00CA641F"/>
    <w:rsid w:val="00CA705C"/>
    <w:rsid w:val="00CC3B4E"/>
    <w:rsid w:val="00CD6AFD"/>
    <w:rsid w:val="00CD717D"/>
    <w:rsid w:val="00CD7D26"/>
    <w:rsid w:val="00CE1455"/>
    <w:rsid w:val="00CE17C1"/>
    <w:rsid w:val="00CE6B61"/>
    <w:rsid w:val="00CF1B45"/>
    <w:rsid w:val="00CF2BBC"/>
    <w:rsid w:val="00CF31A1"/>
    <w:rsid w:val="00CF4932"/>
    <w:rsid w:val="00CF4A66"/>
    <w:rsid w:val="00CF63DB"/>
    <w:rsid w:val="00CF7EA7"/>
    <w:rsid w:val="00D02AC8"/>
    <w:rsid w:val="00D16374"/>
    <w:rsid w:val="00D22AB4"/>
    <w:rsid w:val="00D24AE9"/>
    <w:rsid w:val="00D24CA4"/>
    <w:rsid w:val="00D32D42"/>
    <w:rsid w:val="00D70DC6"/>
    <w:rsid w:val="00D717B8"/>
    <w:rsid w:val="00D729C7"/>
    <w:rsid w:val="00D75FB1"/>
    <w:rsid w:val="00D82323"/>
    <w:rsid w:val="00D83A89"/>
    <w:rsid w:val="00D84E72"/>
    <w:rsid w:val="00DA0278"/>
    <w:rsid w:val="00DA326B"/>
    <w:rsid w:val="00DA7044"/>
    <w:rsid w:val="00DC7708"/>
    <w:rsid w:val="00DD6049"/>
    <w:rsid w:val="00DD76AA"/>
    <w:rsid w:val="00DD7A3D"/>
    <w:rsid w:val="00DE0FA7"/>
    <w:rsid w:val="00DE2279"/>
    <w:rsid w:val="00DE410F"/>
    <w:rsid w:val="00DE42B0"/>
    <w:rsid w:val="00DF479B"/>
    <w:rsid w:val="00E01D4E"/>
    <w:rsid w:val="00E070A0"/>
    <w:rsid w:val="00E13526"/>
    <w:rsid w:val="00E20B04"/>
    <w:rsid w:val="00E31D35"/>
    <w:rsid w:val="00E341F8"/>
    <w:rsid w:val="00E41F1A"/>
    <w:rsid w:val="00E502EF"/>
    <w:rsid w:val="00E54C09"/>
    <w:rsid w:val="00E63450"/>
    <w:rsid w:val="00E67018"/>
    <w:rsid w:val="00E73D20"/>
    <w:rsid w:val="00E81B9D"/>
    <w:rsid w:val="00E84CE7"/>
    <w:rsid w:val="00E856BD"/>
    <w:rsid w:val="00E85C1B"/>
    <w:rsid w:val="00E91052"/>
    <w:rsid w:val="00E91128"/>
    <w:rsid w:val="00E94F31"/>
    <w:rsid w:val="00EA054F"/>
    <w:rsid w:val="00EA5202"/>
    <w:rsid w:val="00EB5E06"/>
    <w:rsid w:val="00EC3440"/>
    <w:rsid w:val="00EC6797"/>
    <w:rsid w:val="00EE170C"/>
    <w:rsid w:val="00EE2BEE"/>
    <w:rsid w:val="00EF0A30"/>
    <w:rsid w:val="00EF0A83"/>
    <w:rsid w:val="00EF1014"/>
    <w:rsid w:val="00EF4F60"/>
    <w:rsid w:val="00F00999"/>
    <w:rsid w:val="00F27215"/>
    <w:rsid w:val="00F304AD"/>
    <w:rsid w:val="00F35309"/>
    <w:rsid w:val="00F420E6"/>
    <w:rsid w:val="00F47490"/>
    <w:rsid w:val="00F6045D"/>
    <w:rsid w:val="00F65161"/>
    <w:rsid w:val="00F7077F"/>
    <w:rsid w:val="00F727F6"/>
    <w:rsid w:val="00F74957"/>
    <w:rsid w:val="00F74A15"/>
    <w:rsid w:val="00F74D8A"/>
    <w:rsid w:val="00F77522"/>
    <w:rsid w:val="00F8402B"/>
    <w:rsid w:val="00F95BCA"/>
    <w:rsid w:val="00F97CCF"/>
    <w:rsid w:val="00FC1865"/>
    <w:rsid w:val="00FC6169"/>
    <w:rsid w:val="00FD6AAB"/>
    <w:rsid w:val="00FE25B7"/>
    <w:rsid w:val="00FE2BA0"/>
    <w:rsid w:val="00FE2DEB"/>
    <w:rsid w:val="00FE7406"/>
    <w:rsid w:val="00FF39F9"/>
    <w:rsid w:val="00FF5935"/>
    <w:rsid w:val="00FF773B"/>
    <w:rsid w:val="04F074A9"/>
    <w:rsid w:val="058065B7"/>
    <w:rsid w:val="0F4476A4"/>
    <w:rsid w:val="1BA82DDF"/>
    <w:rsid w:val="1C431D36"/>
    <w:rsid w:val="253BA12F"/>
    <w:rsid w:val="259C7860"/>
    <w:rsid w:val="2A33B9B6"/>
    <w:rsid w:val="2AF0C0CE"/>
    <w:rsid w:val="2DEFFD3D"/>
    <w:rsid w:val="2ECA567B"/>
    <w:rsid w:val="47344C38"/>
    <w:rsid w:val="4916B114"/>
    <w:rsid w:val="4BCCB1A9"/>
    <w:rsid w:val="55E81D25"/>
    <w:rsid w:val="5F61D012"/>
    <w:rsid w:val="625B2413"/>
    <w:rsid w:val="6CBE90FF"/>
    <w:rsid w:val="712B2B5B"/>
    <w:rsid w:val="75F9AE04"/>
    <w:rsid w:val="7A7609D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2B28"/>
  <w15:chartTrackingRefBased/>
  <w15:docId w15:val="{CB14C238-DE46-4FFE-BC0F-86BA770A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255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B255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B25513"/>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B25513"/>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B25513"/>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B2551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2551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2551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2551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2551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B25513"/>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B25513"/>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B25513"/>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B25513"/>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B255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255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255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25513"/>
    <w:rPr>
      <w:rFonts w:eastAsiaTheme="majorEastAsia" w:cstheme="majorBidi"/>
      <w:color w:val="272727" w:themeColor="text1" w:themeTint="D8"/>
    </w:rPr>
  </w:style>
  <w:style w:type="paragraph" w:styleId="Nzev">
    <w:name w:val="Title"/>
    <w:basedOn w:val="Normln"/>
    <w:next w:val="Normln"/>
    <w:link w:val="NzevChar"/>
    <w:uiPriority w:val="10"/>
    <w:qFormat/>
    <w:rsid w:val="00B25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2551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2551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2551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25513"/>
    <w:pPr>
      <w:spacing w:before="160"/>
      <w:jc w:val="center"/>
    </w:pPr>
    <w:rPr>
      <w:i/>
      <w:iCs/>
      <w:color w:val="404040" w:themeColor="text1" w:themeTint="BF"/>
    </w:rPr>
  </w:style>
  <w:style w:type="character" w:customStyle="1" w:styleId="CittChar">
    <w:name w:val="Citát Char"/>
    <w:basedOn w:val="Standardnpsmoodstavce"/>
    <w:link w:val="Citt"/>
    <w:uiPriority w:val="29"/>
    <w:rsid w:val="00B25513"/>
    <w:rPr>
      <w:i/>
      <w:iCs/>
      <w:color w:val="404040" w:themeColor="text1" w:themeTint="BF"/>
    </w:rPr>
  </w:style>
  <w:style w:type="paragraph" w:styleId="Odstavecseseznamem">
    <w:name w:val="List Paragraph"/>
    <w:basedOn w:val="Normln"/>
    <w:uiPriority w:val="34"/>
    <w:qFormat/>
    <w:rsid w:val="00B25513"/>
    <w:pPr>
      <w:ind w:left="720"/>
      <w:contextualSpacing/>
    </w:pPr>
  </w:style>
  <w:style w:type="character" w:styleId="Zdraznnintenzivn">
    <w:name w:val="Intense Emphasis"/>
    <w:basedOn w:val="Standardnpsmoodstavce"/>
    <w:uiPriority w:val="21"/>
    <w:qFormat/>
    <w:rsid w:val="00B25513"/>
    <w:rPr>
      <w:i/>
      <w:iCs/>
      <w:color w:val="2E74B5" w:themeColor="accent1" w:themeShade="BF"/>
    </w:rPr>
  </w:style>
  <w:style w:type="paragraph" w:styleId="Vrazncitt">
    <w:name w:val="Intense Quote"/>
    <w:basedOn w:val="Normln"/>
    <w:next w:val="Normln"/>
    <w:link w:val="VrazncittChar"/>
    <w:uiPriority w:val="30"/>
    <w:qFormat/>
    <w:rsid w:val="00B255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B25513"/>
    <w:rPr>
      <w:i/>
      <w:iCs/>
      <w:color w:val="2E74B5" w:themeColor="accent1" w:themeShade="BF"/>
    </w:rPr>
  </w:style>
  <w:style w:type="character" w:styleId="Odkazintenzivn">
    <w:name w:val="Intense Reference"/>
    <w:basedOn w:val="Standardnpsmoodstavce"/>
    <w:uiPriority w:val="32"/>
    <w:qFormat/>
    <w:rsid w:val="00B25513"/>
    <w:rPr>
      <w:b/>
      <w:bCs/>
      <w:smallCaps/>
      <w:color w:val="2E74B5" w:themeColor="accent1" w:themeShade="BF"/>
      <w:spacing w:val="5"/>
    </w:rPr>
  </w:style>
  <w:style w:type="table" w:styleId="Mkatabulky">
    <w:name w:val="Table Grid"/>
    <w:basedOn w:val="Normlntabulka"/>
    <w:uiPriority w:val="39"/>
    <w:rsid w:val="00B2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E1E21"/>
    <w:rPr>
      <w:color w:val="0563C1" w:themeColor="hyperlink"/>
      <w:u w:val="single"/>
    </w:rPr>
  </w:style>
  <w:style w:type="character" w:styleId="Nevyeenzmnka">
    <w:name w:val="Unresolved Mention"/>
    <w:basedOn w:val="Standardnpsmoodstavce"/>
    <w:uiPriority w:val="99"/>
    <w:semiHidden/>
    <w:unhideWhenUsed/>
    <w:rsid w:val="00AE1E21"/>
    <w:rPr>
      <w:color w:val="605E5C"/>
      <w:shd w:val="clear" w:color="auto" w:fill="E1DFDD"/>
    </w:rPr>
  </w:style>
  <w:style w:type="paragraph" w:styleId="Revize">
    <w:name w:val="Revision"/>
    <w:hidden/>
    <w:uiPriority w:val="99"/>
    <w:semiHidden/>
    <w:rsid w:val="002534A5"/>
    <w:pPr>
      <w:spacing w:after="0" w:line="240" w:lineRule="auto"/>
    </w:pPr>
  </w:style>
  <w:style w:type="character" w:styleId="Odkaznakoment">
    <w:name w:val="annotation reference"/>
    <w:basedOn w:val="Standardnpsmoodstavce"/>
    <w:uiPriority w:val="99"/>
    <w:semiHidden/>
    <w:unhideWhenUsed/>
    <w:rsid w:val="001B4485"/>
    <w:rPr>
      <w:sz w:val="16"/>
      <w:szCs w:val="16"/>
    </w:rPr>
  </w:style>
  <w:style w:type="paragraph" w:styleId="Textkomente">
    <w:name w:val="annotation text"/>
    <w:basedOn w:val="Normln"/>
    <w:link w:val="TextkomenteChar"/>
    <w:uiPriority w:val="99"/>
    <w:semiHidden/>
    <w:unhideWhenUsed/>
    <w:rsid w:val="001B4485"/>
    <w:pPr>
      <w:spacing w:line="240" w:lineRule="auto"/>
    </w:pPr>
    <w:rPr>
      <w:sz w:val="20"/>
      <w:szCs w:val="20"/>
    </w:rPr>
  </w:style>
  <w:style w:type="character" w:customStyle="1" w:styleId="TextkomenteChar">
    <w:name w:val="Text komentáře Char"/>
    <w:basedOn w:val="Standardnpsmoodstavce"/>
    <w:link w:val="Textkomente"/>
    <w:uiPriority w:val="99"/>
    <w:semiHidden/>
    <w:rsid w:val="001B4485"/>
    <w:rPr>
      <w:sz w:val="20"/>
      <w:szCs w:val="20"/>
    </w:rPr>
  </w:style>
  <w:style w:type="paragraph" w:styleId="Pedmtkomente">
    <w:name w:val="annotation subject"/>
    <w:basedOn w:val="Textkomente"/>
    <w:next w:val="Textkomente"/>
    <w:link w:val="PedmtkomenteChar"/>
    <w:uiPriority w:val="99"/>
    <w:semiHidden/>
    <w:unhideWhenUsed/>
    <w:rsid w:val="001B4485"/>
    <w:rPr>
      <w:b/>
      <w:bCs/>
    </w:rPr>
  </w:style>
  <w:style w:type="character" w:customStyle="1" w:styleId="PedmtkomenteChar">
    <w:name w:val="Předmět komentáře Char"/>
    <w:basedOn w:val="TextkomenteChar"/>
    <w:link w:val="Pedmtkomente"/>
    <w:uiPriority w:val="99"/>
    <w:semiHidden/>
    <w:rsid w:val="001B44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rina.slavickova@crestcom.cz" TargetMode="External"/><Relationship Id="rId5" Type="http://schemas.openxmlformats.org/officeDocument/2006/relationships/styles" Target="styles.xml"/><Relationship Id="rId10" Type="http://schemas.openxmlformats.org/officeDocument/2006/relationships/hyperlink" Target="mailto:denisa.kolarikova@crestcom.cz" TargetMode="External"/><Relationship Id="rId4" Type="http://schemas.openxmlformats.org/officeDocument/2006/relationships/numbering" Target="numbering.xml"/><Relationship Id="rId9" Type="http://schemas.openxmlformats.org/officeDocument/2006/relationships/hyperlink" Target="https://caspyan.group/pro-investor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E728B-4B14-4B01-8567-9BE874E3357E}">
  <ds:schemaRefs>
    <ds:schemaRef ds:uri="http://schemas.microsoft.com/sharepoint/v3/contenttype/forms"/>
  </ds:schemaRefs>
</ds:datastoreItem>
</file>

<file path=customXml/itemProps2.xml><?xml version="1.0" encoding="utf-8"?>
<ds:datastoreItem xmlns:ds="http://schemas.openxmlformats.org/officeDocument/2006/customXml" ds:itemID="{9A6BBA8C-675C-4CC5-9AE4-15188C3E7D9D}">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customXml/itemProps3.xml><?xml version="1.0" encoding="utf-8"?>
<ds:datastoreItem xmlns:ds="http://schemas.openxmlformats.org/officeDocument/2006/customXml" ds:itemID="{9F2ABE01-8FD4-47A4-BFF4-BFEDBDC6F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3711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Kolaříková</dc:creator>
  <cp:keywords/>
  <dc:description/>
  <cp:lastModifiedBy>Denisa Kolaříková | CrestCommunications a.s.</cp:lastModifiedBy>
  <cp:revision>4</cp:revision>
  <dcterms:created xsi:type="dcterms:W3CDTF">2026-06-09T08:53:00Z</dcterms:created>
  <dcterms:modified xsi:type="dcterms:W3CDTF">2026-06-09T13:45:00Z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0x010100D037425BC85BAC47A18BE758018E6255</vt:lpwstr>
  </property>
  <property fmtid="{D5CDD505-2E9C-101B-9397-08002B2CF9AE}" pid="3" name="MediaServiceImageTags">
    <vt:lpwstr/>
  </property>
</Properties>
</file>